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017A" w:rsidRPr="00632B94" w:rsidRDefault="0081017A" w:rsidP="00F74106">
      <w:pPr>
        <w:pStyle w:val="Title"/>
        <w:bidi w:val="0"/>
        <w:rPr>
          <w:sz w:val="20"/>
          <w:szCs w:val="20"/>
        </w:rPr>
      </w:pPr>
      <w:r w:rsidRPr="00632B94">
        <w:rPr>
          <w:sz w:val="20"/>
          <w:szCs w:val="20"/>
        </w:rPr>
        <w:t>Chapter One</w:t>
      </w:r>
    </w:p>
    <w:p w:rsidR="000A09DD" w:rsidRPr="00632B94" w:rsidRDefault="000A09DD" w:rsidP="000A09DD">
      <w:pPr>
        <w:pStyle w:val="Title"/>
        <w:bidi w:val="0"/>
        <w:rPr>
          <w:sz w:val="20"/>
          <w:szCs w:val="20"/>
        </w:rPr>
      </w:pPr>
    </w:p>
    <w:p w:rsidR="006A480D" w:rsidRPr="00632B94" w:rsidRDefault="006A480D" w:rsidP="0081017A">
      <w:pPr>
        <w:pStyle w:val="Title"/>
        <w:bidi w:val="0"/>
        <w:rPr>
          <w:szCs w:val="24"/>
        </w:rPr>
      </w:pPr>
      <w:r w:rsidRPr="00632B94">
        <w:rPr>
          <w:szCs w:val="24"/>
        </w:rPr>
        <w:t>Summary</w:t>
      </w:r>
    </w:p>
    <w:p w:rsidR="006A480D" w:rsidRPr="00632B94" w:rsidRDefault="006A480D" w:rsidP="006A480D">
      <w:pPr>
        <w:pStyle w:val="Title"/>
        <w:bidi w:val="0"/>
        <w:rPr>
          <w:sz w:val="20"/>
          <w:szCs w:val="20"/>
        </w:rPr>
      </w:pPr>
    </w:p>
    <w:p w:rsidR="00D12C4F" w:rsidRPr="00632B94" w:rsidRDefault="005356E0" w:rsidP="0021776D">
      <w:pPr>
        <w:pStyle w:val="Title"/>
        <w:bidi w:val="0"/>
        <w:rPr>
          <w:rFonts w:cs="Traditional Arabic"/>
          <w:szCs w:val="24"/>
        </w:rPr>
      </w:pPr>
      <w:r w:rsidRPr="005356E0">
        <w:pict>
          <v:rect id="_x0000_s1026" style="position:absolute;left:0;text-align:left;margin-left:297.25pt;margin-top:-2.95pt;width:42pt;height:24pt;z-index:251653120">
            <v:textbox style="mso-next-textbox:#_x0000_s1026">
              <w:txbxContent>
                <w:p w:rsidR="00C10B40" w:rsidRDefault="00C10B40" w:rsidP="00045CF3">
                  <w:pPr>
                    <w:jc w:val="center"/>
                    <w:rPr>
                      <w:b/>
                      <w:bCs/>
                      <w:sz w:val="28"/>
                      <w:szCs w:val="28"/>
                    </w:rPr>
                  </w:pPr>
                  <w:r>
                    <w:rPr>
                      <w:sz w:val="28"/>
                    </w:rPr>
                    <w:t>1.1</w:t>
                  </w:r>
                </w:p>
              </w:txbxContent>
            </v:textbox>
          </v:rect>
        </w:pict>
      </w:r>
      <w:r w:rsidR="00045CF3" w:rsidRPr="00632B94">
        <w:rPr>
          <w:sz w:val="20"/>
          <w:szCs w:val="20"/>
        </w:rPr>
        <w:t>Palestinians in Palestin</w:t>
      </w:r>
      <w:r w:rsidR="0021776D" w:rsidRPr="00632B94">
        <w:rPr>
          <w:sz w:val="20"/>
          <w:szCs w:val="20"/>
        </w:rPr>
        <w:t>e</w:t>
      </w:r>
      <w:r w:rsidR="00045CF3" w:rsidRPr="00632B94">
        <w:rPr>
          <w:sz w:val="20"/>
          <w:szCs w:val="20"/>
        </w:rPr>
        <w:t xml:space="preserve"> </w:t>
      </w:r>
    </w:p>
    <w:p w:rsidR="00045CF3" w:rsidRPr="00632B94" w:rsidRDefault="00045CF3" w:rsidP="00F74106">
      <w:pPr>
        <w:jc w:val="center"/>
      </w:pPr>
      <w:r w:rsidRPr="00632B94">
        <w:rPr>
          <w:b/>
          <w:bCs/>
        </w:rPr>
        <w:t>(West Bank and Gaza Strip)</w:t>
      </w:r>
      <w:r w:rsidR="00D12C4F" w:rsidRPr="00632B94">
        <w:t xml:space="preserve"> </w:t>
      </w:r>
    </w:p>
    <w:p w:rsidR="00527986" w:rsidRPr="00632B94" w:rsidRDefault="00527986" w:rsidP="00F74106">
      <w:pPr>
        <w:jc w:val="center"/>
      </w:pPr>
    </w:p>
    <w:p w:rsidR="00527986" w:rsidRPr="00632B94" w:rsidRDefault="00527986" w:rsidP="00332048">
      <w:pPr>
        <w:pStyle w:val="Title"/>
        <w:numPr>
          <w:ilvl w:val="0"/>
          <w:numId w:val="19"/>
        </w:numPr>
        <w:bidi w:val="0"/>
        <w:ind w:left="252" w:hanging="252"/>
        <w:jc w:val="left"/>
        <w:rPr>
          <w:rFonts w:cs="Traditional Arabic"/>
          <w:noProof w:val="0"/>
          <w:sz w:val="20"/>
          <w:szCs w:val="20"/>
          <w:rtl/>
        </w:rPr>
      </w:pPr>
      <w:r w:rsidRPr="00632B94">
        <w:rPr>
          <w:rFonts w:cs="Traditional Arabic"/>
          <w:sz w:val="20"/>
          <w:szCs w:val="20"/>
        </w:rPr>
        <w:t xml:space="preserve">Population                                                         </w:t>
      </w:r>
    </w:p>
    <w:p w:rsidR="00836EF4" w:rsidRPr="00632B94" w:rsidRDefault="005356E0" w:rsidP="00034854">
      <w:pPr>
        <w:pStyle w:val="BodyText2"/>
        <w:numPr>
          <w:ilvl w:val="0"/>
          <w:numId w:val="2"/>
        </w:numPr>
        <w:overflowPunct/>
        <w:autoSpaceDE/>
        <w:autoSpaceDN/>
        <w:adjustRightInd/>
        <w:spacing w:after="120"/>
        <w:ind w:left="266" w:hanging="266"/>
        <w:textAlignment w:val="auto"/>
      </w:pPr>
      <w:r>
        <w:rPr>
          <w:noProof/>
        </w:rPr>
        <w:pict>
          <v:rect id="_x0000_s1030" style="position:absolute;left:0;text-align:left;margin-left:147.75pt;margin-top:27.25pt;width:230.55pt;height:23pt;z-index:251683840" stroked="f">
            <v:textbox>
              <w:txbxContent>
                <w:p w:rsidR="00C10B40" w:rsidRPr="0021079C" w:rsidRDefault="00C10B40" w:rsidP="0021079C">
                  <w:pPr>
                    <w:pStyle w:val="Heading2"/>
                    <w:rPr>
                      <w:rFonts w:ascii="Arial" w:hAnsi="Arial" w:cs="Arial"/>
                      <w:color w:val="000000" w:themeColor="text1"/>
                      <w:sz w:val="16"/>
                      <w:szCs w:val="16"/>
                      <w:lang w:val="en-GB"/>
                    </w:rPr>
                  </w:pPr>
                  <w:r w:rsidRPr="0021079C">
                    <w:rPr>
                      <w:rFonts w:ascii="Arial" w:hAnsi="Arial" w:cs="Arial"/>
                      <w:color w:val="000000" w:themeColor="text1"/>
                      <w:sz w:val="16"/>
                      <w:szCs w:val="16"/>
                      <w:lang w:val="en-GB"/>
                    </w:rPr>
                    <w:t xml:space="preserve">Population* in Palestine by Governorate, </w:t>
                  </w:r>
                  <w:r w:rsidRPr="0021079C">
                    <w:rPr>
                      <w:rFonts w:ascii="Arial" w:hAnsi="Arial" w:cs="Arial" w:hint="cs"/>
                      <w:color w:val="000000" w:themeColor="text1"/>
                      <w:sz w:val="16"/>
                      <w:szCs w:val="16"/>
                      <w:rtl/>
                      <w:lang w:val="en-GB"/>
                    </w:rPr>
                    <w:t>2017</w:t>
                  </w:r>
                </w:p>
                <w:p w:rsidR="00C10B40" w:rsidRPr="0021079C" w:rsidRDefault="00C10B40" w:rsidP="0021079C"/>
              </w:txbxContent>
            </v:textbox>
            <w10:wrap anchorx="page"/>
          </v:rect>
        </w:pict>
      </w:r>
      <w:r w:rsidR="007A6A47">
        <w:rPr>
          <w:noProof/>
        </w:rPr>
        <w:drawing>
          <wp:anchor distT="0" distB="0" distL="114300" distR="114300" simplePos="0" relativeHeight="251677696" behindDoc="0" locked="0" layoutInCell="1" allowOverlap="1">
            <wp:simplePos x="0" y="0"/>
            <wp:positionH relativeFrom="column">
              <wp:posOffset>1692910</wp:posOffset>
            </wp:positionH>
            <wp:positionV relativeFrom="paragraph">
              <wp:posOffset>349250</wp:posOffset>
            </wp:positionV>
            <wp:extent cx="3155950" cy="3911600"/>
            <wp:effectExtent l="19050" t="0" r="6350" b="0"/>
            <wp:wrapSquare wrapText="bothSides"/>
            <wp:docPr id="8" name="Picture 1" descr="G:\بعد ادخال المواد عليه كتاب فلسطين الاحصائي 2017\الخرائط  الاحصائية 2017\الخرائط 2017\Estimated_Pop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بعد ادخال المواد عليه كتاب فلسطين الاحصائي 2017\الخرائط  الاحصائية 2017\الخرائط 2017\Estimated_Pop_En.png"/>
                    <pic:cNvPicPr>
                      <a:picLocks noChangeAspect="1" noChangeArrowheads="1"/>
                    </pic:cNvPicPr>
                  </pic:nvPicPr>
                  <pic:blipFill>
                    <a:blip r:embed="rId8"/>
                    <a:srcRect t="12821"/>
                    <a:stretch>
                      <a:fillRect/>
                    </a:stretch>
                  </pic:blipFill>
                  <pic:spPr bwMode="auto">
                    <a:xfrm>
                      <a:off x="0" y="0"/>
                      <a:ext cx="3155950" cy="3911600"/>
                    </a:xfrm>
                    <a:prstGeom prst="rect">
                      <a:avLst/>
                    </a:prstGeom>
                    <a:noFill/>
                    <a:ln w="9525">
                      <a:noFill/>
                      <a:miter lim="800000"/>
                      <a:headEnd/>
                      <a:tailEnd/>
                    </a:ln>
                  </pic:spPr>
                </pic:pic>
              </a:graphicData>
            </a:graphic>
          </wp:anchor>
        </w:drawing>
      </w:r>
      <w:r w:rsidR="00836EF4" w:rsidRPr="00632B94">
        <w:t xml:space="preserve">The population of Palestine was estimated at </w:t>
      </w:r>
      <w:r w:rsidR="00034854">
        <w:t>4.85</w:t>
      </w:r>
      <w:r w:rsidR="00836EF4" w:rsidRPr="00632B94">
        <w:t xml:space="preserve"> million mid-2018: </w:t>
      </w:r>
      <w:r w:rsidR="00034854">
        <w:t>2.92</w:t>
      </w:r>
      <w:r w:rsidR="00836EF4" w:rsidRPr="00632B94">
        <w:t xml:space="preserve"> million in the West Bank and </w:t>
      </w:r>
      <w:r w:rsidR="00034854">
        <w:t>1.93</w:t>
      </w:r>
      <w:r w:rsidR="00836EF4" w:rsidRPr="00632B94">
        <w:t xml:space="preserve"> million in Gaza Strip.</w:t>
      </w:r>
    </w:p>
    <w:p w:rsidR="00836EF4" w:rsidRPr="00632B94" w:rsidRDefault="00836EF4" w:rsidP="00E126B8">
      <w:pPr>
        <w:pStyle w:val="BodyText2"/>
        <w:numPr>
          <w:ilvl w:val="0"/>
          <w:numId w:val="2"/>
        </w:numPr>
        <w:overflowPunct/>
        <w:autoSpaceDE/>
        <w:autoSpaceDN/>
        <w:adjustRightInd/>
        <w:spacing w:after="120"/>
        <w:ind w:left="266" w:hanging="266"/>
        <w:textAlignment w:val="auto"/>
        <w:rPr>
          <w:noProof/>
        </w:rPr>
      </w:pPr>
      <w:r w:rsidRPr="00632B94">
        <w:rPr>
          <w:noProof/>
        </w:rPr>
        <w:t>The population of Palestine is young:</w:t>
      </w:r>
      <w:r w:rsidR="00B36059">
        <w:rPr>
          <w:noProof/>
        </w:rPr>
        <w:t xml:space="preserve"> </w:t>
      </w:r>
      <w:r w:rsidRPr="00632B94">
        <w:rPr>
          <w:rFonts w:hint="cs"/>
          <w:noProof/>
          <w:rtl/>
        </w:rPr>
        <w:t>38.</w:t>
      </w:r>
      <w:r w:rsidR="00E126B8">
        <w:rPr>
          <w:noProof/>
        </w:rPr>
        <w:t>6</w:t>
      </w:r>
      <w:r w:rsidRPr="00632B94">
        <w:rPr>
          <w:noProof/>
        </w:rPr>
        <w:t>% of the total population were under 15 years in mid-2018: 36.7% in the West Bank and 41.</w:t>
      </w:r>
      <w:r w:rsidR="00E126B8">
        <w:rPr>
          <w:noProof/>
        </w:rPr>
        <w:t>7</w:t>
      </w:r>
      <w:r w:rsidRPr="00632B94">
        <w:rPr>
          <w:noProof/>
        </w:rPr>
        <w:t>% in Gaza Strip.  Persons aged 65 and above constitute</w:t>
      </w:r>
      <w:r w:rsidR="00F23F9B">
        <w:rPr>
          <w:noProof/>
        </w:rPr>
        <w:t>d</w:t>
      </w:r>
      <w:r w:rsidRPr="00632B94">
        <w:rPr>
          <w:noProof/>
        </w:rPr>
        <w:t xml:space="preserve"> 3.2% of the total </w:t>
      </w:r>
      <w:r w:rsidRPr="00793CB8">
        <w:rPr>
          <w:noProof/>
        </w:rPr>
        <w:t>population: 3.</w:t>
      </w:r>
      <w:r w:rsidR="00E126B8">
        <w:rPr>
          <w:noProof/>
        </w:rPr>
        <w:t>5</w:t>
      </w:r>
      <w:r w:rsidRPr="00793CB8">
        <w:rPr>
          <w:noProof/>
        </w:rPr>
        <w:t>% in the West</w:t>
      </w:r>
      <w:r w:rsidRPr="00632B94">
        <w:rPr>
          <w:noProof/>
        </w:rPr>
        <w:t xml:space="preserve"> Bank and 2.</w:t>
      </w:r>
      <w:r w:rsidR="00E126B8">
        <w:rPr>
          <w:noProof/>
        </w:rPr>
        <w:t>7</w:t>
      </w:r>
      <w:r w:rsidRPr="00632B94">
        <w:rPr>
          <w:noProof/>
        </w:rPr>
        <w:t>% in Gaza Strip. </w:t>
      </w:r>
    </w:p>
    <w:p w:rsidR="00836EF4" w:rsidRPr="00632B94" w:rsidRDefault="00836EF4" w:rsidP="00332048">
      <w:pPr>
        <w:pStyle w:val="BodyText2"/>
        <w:numPr>
          <w:ilvl w:val="0"/>
          <w:numId w:val="2"/>
        </w:numPr>
        <w:overflowPunct/>
        <w:autoSpaceDE/>
        <w:autoSpaceDN/>
        <w:adjustRightInd/>
        <w:spacing w:after="120"/>
        <w:ind w:left="266" w:hanging="266"/>
        <w:textAlignment w:val="auto"/>
        <w:rPr>
          <w:noProof/>
        </w:rPr>
      </w:pPr>
      <w:r w:rsidRPr="00632B94">
        <w:rPr>
          <w:noProof/>
        </w:rPr>
        <w:t>The total fertility rate in Palestine between 2011 and 2013 was 4.1 births: 3.7 births in the West Bank and 4.5 births in Gaza Strip.</w:t>
      </w:r>
    </w:p>
    <w:p w:rsidR="00836EF4" w:rsidRPr="00632B94" w:rsidRDefault="005356E0" w:rsidP="00332048">
      <w:pPr>
        <w:pStyle w:val="BodyText2"/>
        <w:numPr>
          <w:ilvl w:val="0"/>
          <w:numId w:val="2"/>
        </w:numPr>
        <w:overflowPunct/>
        <w:autoSpaceDE/>
        <w:autoSpaceDN/>
        <w:adjustRightInd/>
        <w:spacing w:after="120"/>
        <w:ind w:left="266" w:hanging="266"/>
        <w:textAlignment w:val="auto"/>
        <w:rPr>
          <w:noProof/>
        </w:rPr>
      </w:pPr>
      <w:r>
        <w:rPr>
          <w:noProof/>
        </w:rPr>
        <w:pict>
          <v:rect id="_x0000_s1031" style="position:absolute;left:0;text-align:left;margin-left:142.75pt;margin-top:19.9pt;width:226.55pt;height:35pt;z-index:251684864" stroked="f">
            <v:textbox>
              <w:txbxContent>
                <w:p w:rsidR="00C10B40" w:rsidRPr="0021079C" w:rsidRDefault="00C10B40" w:rsidP="0021079C">
                  <w:pPr>
                    <w:jc w:val="lowKashida"/>
                  </w:pPr>
                  <w:r w:rsidRPr="00985761">
                    <w:rPr>
                      <w:rFonts w:ascii="Arial" w:hAnsi="Arial" w:cs="Arial"/>
                      <w:color w:val="000000" w:themeColor="text1"/>
                      <w:sz w:val="16"/>
                      <w:szCs w:val="16"/>
                    </w:rPr>
                    <w:t>*</w:t>
                  </w:r>
                  <w:r>
                    <w:rPr>
                      <w:rFonts w:ascii="Arial" w:hAnsi="Arial" w:cs="Arial"/>
                      <w:color w:val="000000" w:themeColor="text1"/>
                      <w:sz w:val="16"/>
                      <w:szCs w:val="16"/>
                    </w:rPr>
                    <w:t xml:space="preserve"> </w:t>
                  </w:r>
                  <w:r w:rsidRPr="00985761">
                    <w:rPr>
                      <w:rFonts w:ascii="Arial" w:hAnsi="Arial" w:cs="Arial"/>
                      <w:color w:val="000000" w:themeColor="text1"/>
                      <w:sz w:val="16"/>
                      <w:szCs w:val="16"/>
                    </w:rPr>
                    <w:t>Data includes population counted in Palestine, and also includes the uncounted  population estimates according to post enumeration survey.</w:t>
                  </w:r>
                </w:p>
              </w:txbxContent>
            </v:textbox>
            <w10:wrap anchorx="page"/>
          </v:rect>
        </w:pict>
      </w:r>
      <w:r w:rsidR="00836EF4" w:rsidRPr="00632B94">
        <w:rPr>
          <w:noProof/>
        </w:rPr>
        <w:t>The Annual</w:t>
      </w:r>
      <w:r w:rsidR="0058300A">
        <w:rPr>
          <w:noProof/>
        </w:rPr>
        <w:t xml:space="preserve"> estimated</w:t>
      </w:r>
      <w:r w:rsidR="00836EF4" w:rsidRPr="00632B94">
        <w:rPr>
          <w:noProof/>
        </w:rPr>
        <w:t xml:space="preserve"> growth rate of the Palestinian population was 2.5% in Palestine in</w:t>
      </w:r>
      <w:r w:rsidR="0058300A">
        <w:rPr>
          <w:noProof/>
        </w:rPr>
        <w:t xml:space="preserve"> mid</w:t>
      </w:r>
      <w:r w:rsidR="00836EF4" w:rsidRPr="00632B94">
        <w:rPr>
          <w:noProof/>
        </w:rPr>
        <w:t xml:space="preserve"> 2017: 2.2% in the West Bank and 3.0% in Gaza Strip.</w:t>
      </w:r>
    </w:p>
    <w:p w:rsidR="00836EF4" w:rsidRPr="00632B94" w:rsidRDefault="00836EF4" w:rsidP="00B01406">
      <w:pPr>
        <w:pStyle w:val="BodyText2"/>
        <w:numPr>
          <w:ilvl w:val="0"/>
          <w:numId w:val="2"/>
        </w:numPr>
        <w:overflowPunct/>
        <w:autoSpaceDE/>
        <w:autoSpaceDN/>
        <w:adjustRightInd/>
        <w:spacing w:after="120"/>
        <w:ind w:left="266" w:hanging="266"/>
        <w:textAlignment w:val="auto"/>
        <w:rPr>
          <w:noProof/>
        </w:rPr>
      </w:pPr>
      <w:r w:rsidRPr="00632B94">
        <w:rPr>
          <w:noProof/>
        </w:rPr>
        <w:t>In 2017, life expectancy at birth in Palestine was 73.8</w:t>
      </w:r>
      <w:r w:rsidR="00864F2B" w:rsidRPr="00632B94">
        <w:rPr>
          <w:noProof/>
        </w:rPr>
        <w:t xml:space="preserve"> years</w:t>
      </w:r>
      <w:r w:rsidRPr="00632B94">
        <w:rPr>
          <w:noProof/>
        </w:rPr>
        <w:t>: 72.</w:t>
      </w:r>
      <w:r w:rsidR="00B01406">
        <w:rPr>
          <w:noProof/>
        </w:rPr>
        <w:t>7</w:t>
      </w:r>
      <w:r w:rsidRPr="00632B94">
        <w:rPr>
          <w:noProof/>
        </w:rPr>
        <w:t xml:space="preserve"> years for males and 75.</w:t>
      </w:r>
      <w:r w:rsidR="00B01406">
        <w:rPr>
          <w:noProof/>
        </w:rPr>
        <w:t>0</w:t>
      </w:r>
      <w:r w:rsidRPr="00632B94">
        <w:rPr>
          <w:noProof/>
        </w:rPr>
        <w:t xml:space="preserve"> years for females.</w:t>
      </w:r>
    </w:p>
    <w:p w:rsidR="00836EF4" w:rsidRPr="00632B94" w:rsidRDefault="00836EF4" w:rsidP="00332048">
      <w:pPr>
        <w:pStyle w:val="BodyText2"/>
        <w:numPr>
          <w:ilvl w:val="0"/>
          <w:numId w:val="2"/>
        </w:numPr>
        <w:overflowPunct/>
        <w:autoSpaceDE/>
        <w:autoSpaceDN/>
        <w:adjustRightInd/>
        <w:spacing w:after="120"/>
        <w:ind w:left="266" w:hanging="266"/>
        <w:textAlignment w:val="auto"/>
        <w:rPr>
          <w:noProof/>
        </w:rPr>
      </w:pPr>
      <w:r w:rsidRPr="00632B94">
        <w:rPr>
          <w:noProof/>
        </w:rPr>
        <w:t>In 2017</w:t>
      </w:r>
      <w:r w:rsidR="00F23F9B">
        <w:rPr>
          <w:noProof/>
        </w:rPr>
        <w:t>,</w:t>
      </w:r>
      <w:r w:rsidRPr="00632B94">
        <w:rPr>
          <w:noProof/>
        </w:rPr>
        <w:t xml:space="preserve"> Palestinian refugees constituted 42.5% of the total population: 26.6% in the West Bank and 66.2</w:t>
      </w:r>
      <w:r w:rsidRPr="00632B94">
        <w:rPr>
          <w:noProof/>
          <w:rtl/>
        </w:rPr>
        <w:t xml:space="preserve"> </w:t>
      </w:r>
      <w:r w:rsidRPr="00632B94">
        <w:rPr>
          <w:noProof/>
        </w:rPr>
        <w:t>% in Gaza Strip.</w:t>
      </w:r>
    </w:p>
    <w:p w:rsidR="00836EF4" w:rsidRPr="00632B94" w:rsidRDefault="00836EF4" w:rsidP="00332048">
      <w:pPr>
        <w:pStyle w:val="BodyText2"/>
        <w:numPr>
          <w:ilvl w:val="0"/>
          <w:numId w:val="2"/>
        </w:numPr>
        <w:overflowPunct/>
        <w:autoSpaceDE/>
        <w:autoSpaceDN/>
        <w:adjustRightInd/>
        <w:spacing w:after="120"/>
        <w:ind w:left="266" w:hanging="266"/>
        <w:textAlignment w:val="auto"/>
        <w:rPr>
          <w:noProof/>
        </w:rPr>
      </w:pPr>
      <w:r w:rsidRPr="00632B94">
        <w:rPr>
          <w:noProof/>
        </w:rPr>
        <w:t>The average household size in Palestine was 5.1 person</w:t>
      </w:r>
      <w:r w:rsidR="00266749">
        <w:rPr>
          <w:noProof/>
        </w:rPr>
        <w:t>s</w:t>
      </w:r>
      <w:r w:rsidRPr="00632B94">
        <w:rPr>
          <w:noProof/>
        </w:rPr>
        <w:t xml:space="preserve"> in 2017: 4.8 in the West Bank and 5.6 in Gaza Strip.</w:t>
      </w:r>
    </w:p>
    <w:p w:rsidR="00527986" w:rsidRPr="00E126B8" w:rsidRDefault="00527986" w:rsidP="00793CB8">
      <w:pPr>
        <w:pStyle w:val="ListParagraph"/>
        <w:bidi w:val="0"/>
        <w:ind w:left="0"/>
        <w:jc w:val="lowKashida"/>
        <w:rPr>
          <w:rFonts w:cs="Times New Roman"/>
          <w:b/>
          <w:bCs/>
          <w:i/>
          <w:iCs/>
          <w:sz w:val="18"/>
          <w:szCs w:val="18"/>
          <w:u w:val="single"/>
        </w:rPr>
      </w:pPr>
      <w:r w:rsidRPr="00E126B8">
        <w:rPr>
          <w:rFonts w:cs="Times New Roman"/>
          <w:b/>
          <w:bCs/>
          <w:i/>
          <w:iCs/>
          <w:sz w:val="18"/>
          <w:szCs w:val="18"/>
          <w:u w:val="single"/>
        </w:rPr>
        <w:t>For more details on population, see the tables in chapter 1.</w:t>
      </w:r>
      <w:r w:rsidR="00747CC0" w:rsidRPr="00E126B8">
        <w:rPr>
          <w:rFonts w:cs="Times New Roman"/>
          <w:b/>
          <w:bCs/>
          <w:i/>
          <w:iCs/>
          <w:sz w:val="18"/>
          <w:szCs w:val="18"/>
          <w:u w:val="single"/>
        </w:rPr>
        <w:t>1</w:t>
      </w:r>
      <w:r w:rsidRPr="00E126B8">
        <w:rPr>
          <w:rFonts w:cs="Times New Roman"/>
          <w:b/>
          <w:bCs/>
          <w:i/>
          <w:iCs/>
          <w:sz w:val="18"/>
          <w:szCs w:val="18"/>
          <w:u w:val="single"/>
        </w:rPr>
        <w:t xml:space="preserve"> in the Arabic section, pages </w:t>
      </w:r>
      <w:r w:rsidR="0088567C" w:rsidRPr="00E126B8">
        <w:rPr>
          <w:rFonts w:cs="Times New Roman"/>
          <w:b/>
          <w:bCs/>
          <w:i/>
          <w:iCs/>
          <w:sz w:val="18"/>
          <w:szCs w:val="18"/>
          <w:u w:val="single"/>
        </w:rPr>
        <w:t>19</w:t>
      </w:r>
      <w:r w:rsidRPr="00E126B8">
        <w:rPr>
          <w:rFonts w:cs="Times New Roman"/>
          <w:b/>
          <w:bCs/>
          <w:i/>
          <w:iCs/>
          <w:sz w:val="18"/>
          <w:szCs w:val="18"/>
          <w:u w:val="single"/>
        </w:rPr>
        <w:t>-</w:t>
      </w:r>
      <w:r w:rsidR="0088567C" w:rsidRPr="00E126B8">
        <w:rPr>
          <w:rFonts w:cs="Times New Roman"/>
          <w:b/>
          <w:bCs/>
          <w:i/>
          <w:iCs/>
          <w:sz w:val="18"/>
          <w:szCs w:val="18"/>
          <w:u w:val="single"/>
        </w:rPr>
        <w:t>2</w:t>
      </w:r>
      <w:r w:rsidR="00793CB8" w:rsidRPr="00E126B8">
        <w:rPr>
          <w:rFonts w:cs="Times New Roman"/>
          <w:b/>
          <w:bCs/>
          <w:i/>
          <w:iCs/>
          <w:sz w:val="18"/>
          <w:szCs w:val="18"/>
          <w:u w:val="single"/>
        </w:rPr>
        <w:t>6</w:t>
      </w:r>
      <w:r w:rsidRPr="00E126B8">
        <w:rPr>
          <w:rFonts w:cs="Times New Roman"/>
          <w:b/>
          <w:bCs/>
          <w:i/>
          <w:iCs/>
          <w:sz w:val="18"/>
          <w:szCs w:val="18"/>
          <w:u w:val="single"/>
        </w:rPr>
        <w:t>.</w:t>
      </w:r>
    </w:p>
    <w:p w:rsidR="00C67757" w:rsidRDefault="00C67757" w:rsidP="00C67757">
      <w:pPr>
        <w:pStyle w:val="ListParagraph"/>
        <w:bidi w:val="0"/>
        <w:ind w:left="0"/>
        <w:jc w:val="lowKashida"/>
        <w:rPr>
          <w:rFonts w:cs="Times New Roman"/>
          <w:i/>
          <w:iCs/>
          <w:sz w:val="20"/>
          <w:u w:val="single"/>
        </w:rPr>
      </w:pPr>
    </w:p>
    <w:p w:rsidR="007A6A47" w:rsidRPr="00632B94" w:rsidRDefault="007A6A47" w:rsidP="007A6A47">
      <w:pPr>
        <w:pStyle w:val="ListParagraph"/>
        <w:bidi w:val="0"/>
        <w:ind w:left="0"/>
        <w:jc w:val="lowKashida"/>
        <w:rPr>
          <w:rFonts w:cs="Times New Roman"/>
          <w:i/>
          <w:iCs/>
          <w:sz w:val="20"/>
          <w:u w:val="single"/>
        </w:rPr>
      </w:pPr>
    </w:p>
    <w:p w:rsidR="00C67757" w:rsidRPr="00632B94" w:rsidRDefault="00C67757" w:rsidP="00332048">
      <w:pPr>
        <w:pStyle w:val="Title"/>
        <w:numPr>
          <w:ilvl w:val="0"/>
          <w:numId w:val="19"/>
        </w:numPr>
        <w:bidi w:val="0"/>
        <w:ind w:left="252" w:hanging="252"/>
        <w:jc w:val="left"/>
        <w:rPr>
          <w:rFonts w:cs="Traditional Arabic"/>
          <w:sz w:val="20"/>
          <w:szCs w:val="20"/>
        </w:rPr>
      </w:pPr>
      <w:r w:rsidRPr="00632B94">
        <w:rPr>
          <w:rFonts w:cs="Traditional Arabic"/>
          <w:sz w:val="20"/>
          <w:szCs w:val="20"/>
        </w:rPr>
        <w:lastRenderedPageBreak/>
        <w:t xml:space="preserve">Buildings </w:t>
      </w:r>
    </w:p>
    <w:p w:rsidR="00C67757" w:rsidRDefault="00C67757" w:rsidP="004724D5">
      <w:pPr>
        <w:pStyle w:val="BodyText2"/>
        <w:numPr>
          <w:ilvl w:val="0"/>
          <w:numId w:val="2"/>
        </w:numPr>
        <w:overflowPunct/>
        <w:autoSpaceDE/>
        <w:autoSpaceDN/>
        <w:adjustRightInd/>
        <w:spacing w:after="120"/>
        <w:ind w:left="266" w:hanging="266"/>
        <w:textAlignment w:val="auto"/>
        <w:rPr>
          <w:noProof/>
        </w:rPr>
      </w:pPr>
      <w:r w:rsidRPr="00632B94">
        <w:rPr>
          <w:noProof/>
        </w:rPr>
        <w:t xml:space="preserve">The results of </w:t>
      </w:r>
      <w:r w:rsidR="00B66E51" w:rsidRPr="00632B94">
        <w:rPr>
          <w:noProof/>
        </w:rPr>
        <w:t xml:space="preserve">census </w:t>
      </w:r>
      <w:r w:rsidRPr="00632B94">
        <w:rPr>
          <w:noProof/>
        </w:rPr>
        <w:t xml:space="preserve">2017 showed that there </w:t>
      </w:r>
      <w:r w:rsidR="00834995">
        <w:rPr>
          <w:noProof/>
        </w:rPr>
        <w:t>were</w:t>
      </w:r>
      <w:r w:rsidR="00834995" w:rsidRPr="00632B94">
        <w:rPr>
          <w:noProof/>
        </w:rPr>
        <w:t xml:space="preserve"> </w:t>
      </w:r>
      <w:r w:rsidRPr="00632B94">
        <w:rPr>
          <w:noProof/>
        </w:rPr>
        <w:t xml:space="preserve">627,383 buildings in Palestine of which </w:t>
      </w:r>
      <w:r w:rsidR="00AE6B89" w:rsidRPr="00632B94">
        <w:rPr>
          <w:noProof/>
        </w:rPr>
        <w:t>441</w:t>
      </w:r>
      <w:r w:rsidRPr="00632B94">
        <w:rPr>
          <w:noProof/>
        </w:rPr>
        <w:t>,2</w:t>
      </w:r>
      <w:r w:rsidR="00AE6B89" w:rsidRPr="00632B94">
        <w:rPr>
          <w:noProof/>
        </w:rPr>
        <w:t>80</w:t>
      </w:r>
      <w:r w:rsidRPr="00632B94">
        <w:rPr>
          <w:noProof/>
        </w:rPr>
        <w:t xml:space="preserve"> </w:t>
      </w:r>
      <w:r w:rsidR="00834995">
        <w:rPr>
          <w:noProof/>
        </w:rPr>
        <w:t>were</w:t>
      </w:r>
      <w:r w:rsidR="00834995" w:rsidRPr="00632B94">
        <w:rPr>
          <w:noProof/>
        </w:rPr>
        <w:t xml:space="preserve"> </w:t>
      </w:r>
      <w:r w:rsidRPr="00632B94">
        <w:rPr>
          <w:noProof/>
        </w:rPr>
        <w:t xml:space="preserve">in the West Bank (70.3%), and 186,103 in Gaza Strip (29.7%).  Additionally, the census results showed that there were 1,129,264 housing units in Palestine, of which 726,143 </w:t>
      </w:r>
      <w:r w:rsidR="00834995">
        <w:rPr>
          <w:noProof/>
        </w:rPr>
        <w:t>were</w:t>
      </w:r>
      <w:r w:rsidR="00834995" w:rsidRPr="00632B94">
        <w:rPr>
          <w:noProof/>
        </w:rPr>
        <w:t xml:space="preserve"> </w:t>
      </w:r>
      <w:r w:rsidRPr="00632B94">
        <w:rPr>
          <w:noProof/>
        </w:rPr>
        <w:t>in the West Bank</w:t>
      </w:r>
      <w:r w:rsidR="004724D5">
        <w:rPr>
          <w:noProof/>
        </w:rPr>
        <w:t xml:space="preserve"> </w:t>
      </w:r>
      <w:r w:rsidR="004724D5" w:rsidRPr="00632B94">
        <w:rPr>
          <w:noProof/>
        </w:rPr>
        <w:t>(excluding Jerusalem J1)</w:t>
      </w:r>
      <w:r w:rsidRPr="00632B94">
        <w:rPr>
          <w:noProof/>
        </w:rPr>
        <w:t xml:space="preserve"> (64.3%) , and 403,121 in Gaza Strip (35.7%). </w:t>
      </w:r>
    </w:p>
    <w:p w:rsidR="00793CB8" w:rsidRPr="00E126B8" w:rsidRDefault="00793CB8" w:rsidP="00B51C6A">
      <w:pPr>
        <w:pStyle w:val="ListParagraph"/>
        <w:bidi w:val="0"/>
        <w:ind w:left="0"/>
        <w:jc w:val="lowKashida"/>
        <w:rPr>
          <w:rFonts w:cs="Times New Roman"/>
          <w:b/>
          <w:bCs/>
          <w:i/>
          <w:iCs/>
          <w:sz w:val="18"/>
          <w:szCs w:val="18"/>
          <w:u w:val="single"/>
        </w:rPr>
      </w:pPr>
      <w:r w:rsidRPr="00E126B8">
        <w:rPr>
          <w:rFonts w:cs="Times New Roman"/>
          <w:b/>
          <w:bCs/>
          <w:i/>
          <w:iCs/>
          <w:sz w:val="18"/>
          <w:szCs w:val="18"/>
          <w:u w:val="single"/>
        </w:rPr>
        <w:t xml:space="preserve">For more details on </w:t>
      </w:r>
      <w:r w:rsidR="00B51C6A">
        <w:rPr>
          <w:rFonts w:cs="Times New Roman"/>
          <w:b/>
          <w:bCs/>
          <w:i/>
          <w:iCs/>
          <w:sz w:val="18"/>
          <w:szCs w:val="18"/>
          <w:u w:val="single"/>
        </w:rPr>
        <w:t>b</w:t>
      </w:r>
      <w:r w:rsidRPr="00E126B8">
        <w:rPr>
          <w:rFonts w:cs="Times New Roman"/>
          <w:b/>
          <w:bCs/>
          <w:i/>
          <w:iCs/>
          <w:sz w:val="18"/>
          <w:szCs w:val="18"/>
          <w:u w:val="single"/>
        </w:rPr>
        <w:t>uildings, see the tables in chapter 1.2 in the Arabic section, pages  27-34.</w:t>
      </w:r>
    </w:p>
    <w:p w:rsidR="00793CB8" w:rsidRPr="00632B94" w:rsidRDefault="00793CB8" w:rsidP="00793CB8">
      <w:pPr>
        <w:pStyle w:val="BodyText2"/>
        <w:overflowPunct/>
        <w:autoSpaceDE/>
        <w:autoSpaceDN/>
        <w:adjustRightInd/>
        <w:spacing w:after="120"/>
        <w:ind w:left="142"/>
        <w:textAlignment w:val="auto"/>
      </w:pPr>
    </w:p>
    <w:p w:rsidR="00527986" w:rsidRPr="00632B94" w:rsidRDefault="00527986" w:rsidP="00332048">
      <w:pPr>
        <w:pStyle w:val="Title"/>
        <w:numPr>
          <w:ilvl w:val="0"/>
          <w:numId w:val="19"/>
        </w:numPr>
        <w:bidi w:val="0"/>
        <w:ind w:left="252" w:hanging="252"/>
        <w:jc w:val="left"/>
        <w:rPr>
          <w:rFonts w:cs="Traditional Arabic"/>
          <w:sz w:val="20"/>
          <w:szCs w:val="20"/>
        </w:rPr>
      </w:pPr>
      <w:r w:rsidRPr="00632B94">
        <w:rPr>
          <w:rFonts w:cs="Traditional Arabic"/>
          <w:sz w:val="20"/>
          <w:szCs w:val="20"/>
        </w:rPr>
        <w:t xml:space="preserve">Vital Statistics            </w:t>
      </w:r>
    </w:p>
    <w:p w:rsidR="001575DF" w:rsidRPr="00632B94" w:rsidRDefault="001575DF" w:rsidP="00332048">
      <w:pPr>
        <w:pStyle w:val="BodyText2"/>
        <w:numPr>
          <w:ilvl w:val="0"/>
          <w:numId w:val="2"/>
        </w:numPr>
        <w:overflowPunct/>
        <w:autoSpaceDE/>
        <w:autoSpaceDN/>
        <w:adjustRightInd/>
        <w:spacing w:after="120"/>
        <w:ind w:left="266" w:hanging="266"/>
        <w:textAlignment w:val="auto"/>
        <w:rPr>
          <w:noProof/>
        </w:rPr>
      </w:pPr>
      <w:r w:rsidRPr="00632B94">
        <w:rPr>
          <w:noProof/>
        </w:rPr>
        <w:t>The Data of registered births does not include Jerusalem ID holders, the number of live births registered in West Bank was 77,951 in 2016 and 80,544 in 2017.</w:t>
      </w:r>
    </w:p>
    <w:p w:rsidR="00A42D57" w:rsidRPr="00632B94" w:rsidRDefault="00A42D57" w:rsidP="004724D5">
      <w:pPr>
        <w:pStyle w:val="BodyText2"/>
        <w:numPr>
          <w:ilvl w:val="0"/>
          <w:numId w:val="2"/>
        </w:numPr>
        <w:overflowPunct/>
        <w:autoSpaceDE/>
        <w:autoSpaceDN/>
        <w:adjustRightInd/>
        <w:spacing w:after="120"/>
        <w:ind w:left="266" w:hanging="266"/>
        <w:textAlignment w:val="auto"/>
        <w:rPr>
          <w:noProof/>
        </w:rPr>
      </w:pPr>
      <w:r w:rsidRPr="00632B94">
        <w:rPr>
          <w:noProof/>
        </w:rPr>
        <w:t xml:space="preserve">The median age at first marriage in Palestine was 19 years for females and 24 years for males in 2017.  </w:t>
      </w:r>
    </w:p>
    <w:p w:rsidR="00A42D57" w:rsidRPr="00632B94" w:rsidRDefault="007A6A47" w:rsidP="00332048">
      <w:pPr>
        <w:pStyle w:val="BodyText2"/>
        <w:numPr>
          <w:ilvl w:val="0"/>
          <w:numId w:val="2"/>
        </w:numPr>
        <w:overflowPunct/>
        <w:autoSpaceDE/>
        <w:autoSpaceDN/>
        <w:adjustRightInd/>
        <w:spacing w:after="120"/>
        <w:ind w:left="266" w:hanging="266"/>
        <w:textAlignment w:val="auto"/>
        <w:rPr>
          <w:noProof/>
        </w:rPr>
      </w:pPr>
      <w:r>
        <w:rPr>
          <w:noProof/>
        </w:rPr>
        <w:drawing>
          <wp:anchor distT="0" distB="0" distL="114300" distR="114300" simplePos="0" relativeHeight="251678720" behindDoc="0" locked="0" layoutInCell="1" allowOverlap="1">
            <wp:simplePos x="0" y="0"/>
            <wp:positionH relativeFrom="column">
              <wp:posOffset>1362710</wp:posOffset>
            </wp:positionH>
            <wp:positionV relativeFrom="paragraph">
              <wp:posOffset>111760</wp:posOffset>
            </wp:positionV>
            <wp:extent cx="3237230" cy="3962400"/>
            <wp:effectExtent l="19050" t="0" r="1270" b="0"/>
            <wp:wrapSquare wrapText="bothSides"/>
            <wp:docPr id="15" name="Picture 5" descr="G:\بعد ادخال المواد عليه كتاب فلسطين الاحصائي 2017\الخرائط  الاحصائية 2017\الخرائط 2017\Marriages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بعد ادخال المواد عليه كتاب فلسطين الاحصائي 2017\الخرائط  الاحصائية 2017\الخرائط 2017\Marriages_En.png"/>
                    <pic:cNvPicPr>
                      <a:picLocks noChangeAspect="1" noChangeArrowheads="1"/>
                    </pic:cNvPicPr>
                  </pic:nvPicPr>
                  <pic:blipFill>
                    <a:blip r:embed="rId9"/>
                    <a:srcRect l="8371" t="12340" r="9502" b="16506"/>
                    <a:stretch>
                      <a:fillRect/>
                    </a:stretch>
                  </pic:blipFill>
                  <pic:spPr bwMode="auto">
                    <a:xfrm>
                      <a:off x="0" y="0"/>
                      <a:ext cx="3237230" cy="3962400"/>
                    </a:xfrm>
                    <a:prstGeom prst="rect">
                      <a:avLst/>
                    </a:prstGeom>
                    <a:noFill/>
                    <a:ln w="9525">
                      <a:noFill/>
                      <a:miter lim="800000"/>
                      <a:headEnd/>
                      <a:tailEnd/>
                    </a:ln>
                  </pic:spPr>
                </pic:pic>
              </a:graphicData>
            </a:graphic>
          </wp:anchor>
        </w:drawing>
      </w:r>
      <w:r w:rsidR="00A42D57" w:rsidRPr="00632B94">
        <w:rPr>
          <w:noProof/>
        </w:rPr>
        <w:t xml:space="preserve">The number of registered marriages in 2017 at Sharia courts and churches in Palestine was 47,218; comprising </w:t>
      </w:r>
      <w:r w:rsidR="00A42D57" w:rsidRPr="00332048">
        <w:rPr>
          <w:noProof/>
        </w:rPr>
        <w:t>29,977</w:t>
      </w:r>
      <w:r w:rsidR="00A42D57" w:rsidRPr="00632B94">
        <w:rPr>
          <w:noProof/>
        </w:rPr>
        <w:t xml:space="preserve"> contracts in the West Bank and </w:t>
      </w:r>
      <w:r w:rsidR="00A42D57" w:rsidRPr="00332048">
        <w:rPr>
          <w:noProof/>
        </w:rPr>
        <w:t>17,241</w:t>
      </w:r>
      <w:r w:rsidR="007055A9">
        <w:rPr>
          <w:noProof/>
        </w:rPr>
        <w:t xml:space="preserve"> </w:t>
      </w:r>
      <w:r w:rsidR="00A42D57" w:rsidRPr="00632B94">
        <w:rPr>
          <w:noProof/>
        </w:rPr>
        <w:t>contracts in Gaza Strip.</w:t>
      </w:r>
    </w:p>
    <w:p w:rsidR="00A42D57" w:rsidRPr="00632B94" w:rsidRDefault="00A42D57" w:rsidP="00332048">
      <w:pPr>
        <w:pStyle w:val="BodyText2"/>
        <w:numPr>
          <w:ilvl w:val="0"/>
          <w:numId w:val="2"/>
        </w:numPr>
        <w:overflowPunct/>
        <w:autoSpaceDE/>
        <w:autoSpaceDN/>
        <w:adjustRightInd/>
        <w:spacing w:after="120"/>
        <w:ind w:left="266" w:hanging="266"/>
        <w:textAlignment w:val="auto"/>
        <w:rPr>
          <w:noProof/>
        </w:rPr>
      </w:pPr>
      <w:r w:rsidRPr="00632B94">
        <w:rPr>
          <w:noProof/>
        </w:rPr>
        <w:t>Hebron governorate recorded the highest number of marriages in Palestine with 8,517 contracts while Jericho</w:t>
      </w:r>
      <w:r w:rsidRPr="00632B94">
        <w:rPr>
          <w:noProof/>
          <w:rtl/>
        </w:rPr>
        <w:t xml:space="preserve"> &amp; </w:t>
      </w:r>
      <w:r w:rsidRPr="00632B94">
        <w:rPr>
          <w:noProof/>
        </w:rPr>
        <w:t>Al Aghwar governorate recorded the lowest number of marriages with 413 contracts.</w:t>
      </w:r>
    </w:p>
    <w:p w:rsidR="00A42D57" w:rsidRPr="00632B94" w:rsidRDefault="00A42D57"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number of registered divorces at Sharia courts in Palestine in 2017 was 8,568 cases, including </w:t>
      </w:r>
      <w:r w:rsidRPr="00332048">
        <w:rPr>
          <w:noProof/>
        </w:rPr>
        <w:t>5,326</w:t>
      </w:r>
      <w:r w:rsidRPr="00632B94">
        <w:rPr>
          <w:noProof/>
        </w:rPr>
        <w:t xml:space="preserve"> cases in the West Bank and </w:t>
      </w:r>
      <w:r w:rsidRPr="00332048">
        <w:rPr>
          <w:noProof/>
        </w:rPr>
        <w:t>3,242</w:t>
      </w:r>
      <w:r w:rsidRPr="00632B94">
        <w:rPr>
          <w:noProof/>
        </w:rPr>
        <w:t xml:space="preserve"> cases in Gaza Strip. Gaza governorate recorded the highest number of divorce cases in Palestine with </w:t>
      </w:r>
      <w:r w:rsidRPr="00332048">
        <w:rPr>
          <w:noProof/>
        </w:rPr>
        <w:t>1,200</w:t>
      </w:r>
      <w:r w:rsidRPr="00632B94">
        <w:rPr>
          <w:noProof/>
        </w:rPr>
        <w:t xml:space="preserve"> while Jericho</w:t>
      </w:r>
      <w:r w:rsidRPr="00632B94">
        <w:rPr>
          <w:noProof/>
          <w:rtl/>
        </w:rPr>
        <w:t xml:space="preserve"> &amp; </w:t>
      </w:r>
      <w:r w:rsidRPr="00632B94">
        <w:rPr>
          <w:noProof/>
        </w:rPr>
        <w:t>Al Aghwar governorate recorded the lowest number with 107 cases.</w:t>
      </w:r>
    </w:p>
    <w:p w:rsidR="00F73BD9" w:rsidRPr="00632B94" w:rsidRDefault="00F73BD9" w:rsidP="00F73BD9">
      <w:pPr>
        <w:pStyle w:val="BodyText2"/>
        <w:tabs>
          <w:tab w:val="num" w:pos="1211"/>
        </w:tabs>
        <w:overflowPunct/>
        <w:autoSpaceDE/>
        <w:autoSpaceDN/>
        <w:adjustRightInd/>
        <w:ind w:left="142"/>
        <w:jc w:val="left"/>
        <w:textAlignment w:val="auto"/>
      </w:pPr>
    </w:p>
    <w:p w:rsidR="00527986" w:rsidRDefault="00527986" w:rsidP="0078627E">
      <w:pPr>
        <w:pStyle w:val="ListParagraph"/>
        <w:bidi w:val="0"/>
        <w:ind w:left="0"/>
        <w:jc w:val="lowKashida"/>
        <w:rPr>
          <w:rFonts w:cs="Times New Roman"/>
          <w:b/>
          <w:bCs/>
          <w:i/>
          <w:iCs/>
          <w:sz w:val="18"/>
          <w:szCs w:val="18"/>
          <w:u w:val="single"/>
        </w:rPr>
      </w:pPr>
      <w:r w:rsidRPr="00E126B8">
        <w:rPr>
          <w:rFonts w:cs="Times New Roman"/>
          <w:b/>
          <w:bCs/>
          <w:i/>
          <w:iCs/>
          <w:sz w:val="18"/>
          <w:szCs w:val="18"/>
          <w:u w:val="single"/>
        </w:rPr>
        <w:t xml:space="preserve">For more details </w:t>
      </w:r>
      <w:r w:rsidR="00FA6A6A" w:rsidRPr="00E126B8">
        <w:rPr>
          <w:rFonts w:cs="Times New Roman"/>
          <w:b/>
          <w:bCs/>
          <w:i/>
          <w:iCs/>
          <w:sz w:val="18"/>
          <w:szCs w:val="18"/>
          <w:u w:val="single"/>
        </w:rPr>
        <w:t xml:space="preserve">on </w:t>
      </w:r>
      <w:r w:rsidRPr="00E126B8">
        <w:rPr>
          <w:rFonts w:cs="Times New Roman"/>
          <w:b/>
          <w:bCs/>
          <w:i/>
          <w:iCs/>
          <w:sz w:val="18"/>
          <w:szCs w:val="18"/>
          <w:u w:val="single"/>
        </w:rPr>
        <w:t>vital statistics, see the tables in chapter 1.</w:t>
      </w:r>
      <w:r w:rsidR="00084AEE" w:rsidRPr="00E126B8">
        <w:rPr>
          <w:rFonts w:cs="Times New Roman"/>
          <w:b/>
          <w:bCs/>
          <w:i/>
          <w:iCs/>
          <w:sz w:val="18"/>
          <w:szCs w:val="18"/>
          <w:u w:val="single"/>
        </w:rPr>
        <w:t>3</w:t>
      </w:r>
      <w:r w:rsidRPr="00E126B8">
        <w:rPr>
          <w:rFonts w:cs="Times New Roman"/>
          <w:b/>
          <w:bCs/>
          <w:i/>
          <w:iCs/>
          <w:sz w:val="18"/>
          <w:szCs w:val="18"/>
          <w:u w:val="single"/>
        </w:rPr>
        <w:t xml:space="preserve"> of the Arabic section, pages </w:t>
      </w:r>
      <w:r w:rsidR="00793CB8" w:rsidRPr="00E126B8">
        <w:rPr>
          <w:rFonts w:cs="Times New Roman"/>
          <w:b/>
          <w:bCs/>
          <w:i/>
          <w:iCs/>
          <w:sz w:val="18"/>
          <w:szCs w:val="18"/>
          <w:u w:val="single"/>
        </w:rPr>
        <w:t>35</w:t>
      </w:r>
      <w:r w:rsidRPr="00E126B8">
        <w:rPr>
          <w:rFonts w:cs="Times New Roman"/>
          <w:b/>
          <w:bCs/>
          <w:i/>
          <w:iCs/>
          <w:sz w:val="18"/>
          <w:szCs w:val="18"/>
          <w:u w:val="single"/>
        </w:rPr>
        <w:t>-</w:t>
      </w:r>
      <w:r w:rsidR="0078627E">
        <w:rPr>
          <w:rFonts w:cs="Times New Roman"/>
          <w:b/>
          <w:bCs/>
          <w:i/>
          <w:iCs/>
          <w:sz w:val="18"/>
          <w:szCs w:val="18"/>
          <w:u w:val="single"/>
        </w:rPr>
        <w:t>64</w:t>
      </w:r>
      <w:r w:rsidRPr="00E126B8">
        <w:rPr>
          <w:rFonts w:cs="Times New Roman"/>
          <w:b/>
          <w:bCs/>
          <w:i/>
          <w:iCs/>
          <w:sz w:val="18"/>
          <w:szCs w:val="18"/>
          <w:u w:val="single"/>
        </w:rPr>
        <w:t>.</w:t>
      </w:r>
    </w:p>
    <w:p w:rsidR="00D27191" w:rsidRPr="00632B94" w:rsidRDefault="00D27191" w:rsidP="00332048">
      <w:pPr>
        <w:pStyle w:val="Title"/>
        <w:numPr>
          <w:ilvl w:val="0"/>
          <w:numId w:val="19"/>
        </w:numPr>
        <w:bidi w:val="0"/>
        <w:ind w:left="252" w:hanging="252"/>
        <w:jc w:val="left"/>
        <w:rPr>
          <w:rFonts w:cs="Traditional Arabic"/>
          <w:sz w:val="20"/>
          <w:szCs w:val="20"/>
        </w:rPr>
      </w:pPr>
      <w:r w:rsidRPr="00632B94">
        <w:rPr>
          <w:rFonts w:cs="Traditional Arabic"/>
          <w:sz w:val="20"/>
          <w:szCs w:val="20"/>
        </w:rPr>
        <w:lastRenderedPageBreak/>
        <w:t xml:space="preserve">Health                                </w:t>
      </w:r>
    </w:p>
    <w:p w:rsidR="00DD3FB7" w:rsidRPr="00632B94" w:rsidRDefault="00DD3FB7"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In 2017, there were 81 governmental and non-governmental hospitals in Palestine with a capacity of 6,213 beds.  </w:t>
      </w:r>
    </w:p>
    <w:p w:rsidR="00DD3FB7" w:rsidRPr="00632B94" w:rsidRDefault="00DD3FB7"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In 2017, the main causes of child mortality in children aged </w:t>
      </w:r>
      <w:r w:rsidR="00743FBA">
        <w:rPr>
          <w:noProof/>
        </w:rPr>
        <w:t>(</w:t>
      </w:r>
      <w:r w:rsidRPr="00632B94">
        <w:rPr>
          <w:noProof/>
        </w:rPr>
        <w:t>0-4</w:t>
      </w:r>
      <w:r w:rsidR="00743FBA">
        <w:rPr>
          <w:noProof/>
        </w:rPr>
        <w:t>)</w:t>
      </w:r>
      <w:r w:rsidRPr="00632B94">
        <w:rPr>
          <w:noProof/>
        </w:rPr>
        <w:t xml:space="preserve"> years in Palestine were conditions in the prenatal period (70.7%), followed by congenital anomalies (17.2%).</w:t>
      </w:r>
    </w:p>
    <w:p w:rsidR="00DD3FB7" w:rsidRPr="00632B94" w:rsidRDefault="00DD3FB7"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In 2017, Mobility disabilities were the most prevalent in Palestine (1.1%), while Communication and Remembering and Concentration disabilities were the least prevalent (0.4%) for each. </w:t>
      </w:r>
    </w:p>
    <w:p w:rsidR="00D27191" w:rsidRPr="00632B94" w:rsidRDefault="00D27191" w:rsidP="00D27191">
      <w:pPr>
        <w:pStyle w:val="BodyText2"/>
        <w:tabs>
          <w:tab w:val="num" w:pos="1211"/>
        </w:tabs>
        <w:overflowPunct/>
        <w:autoSpaceDE/>
        <w:autoSpaceDN/>
        <w:adjustRightInd/>
        <w:textAlignment w:val="auto"/>
        <w:rPr>
          <w:sz w:val="10"/>
          <w:szCs w:val="10"/>
        </w:rPr>
      </w:pPr>
    </w:p>
    <w:p w:rsidR="00D27191" w:rsidRPr="00632B94" w:rsidRDefault="00D27191" w:rsidP="00D27191">
      <w:pPr>
        <w:pStyle w:val="BodyText"/>
        <w:overflowPunct/>
        <w:autoSpaceDE/>
        <w:autoSpaceDN/>
        <w:adjustRightInd/>
        <w:jc w:val="lowKashida"/>
        <w:textAlignment w:val="auto"/>
        <w:rPr>
          <w:sz w:val="10"/>
          <w:szCs w:val="10"/>
        </w:rPr>
      </w:pPr>
    </w:p>
    <w:p w:rsidR="00971292" w:rsidRPr="00632B94" w:rsidRDefault="00971292" w:rsidP="00971292">
      <w:pPr>
        <w:pStyle w:val="ListParagraph"/>
        <w:bidi w:val="0"/>
        <w:ind w:left="0"/>
        <w:jc w:val="center"/>
        <w:rPr>
          <w:rFonts w:ascii="Arial" w:hAnsi="Arial" w:cs="Arial"/>
          <w:b/>
          <w:bCs/>
          <w:sz w:val="18"/>
          <w:szCs w:val="18"/>
        </w:rPr>
      </w:pPr>
      <w:r w:rsidRPr="00632B94">
        <w:rPr>
          <w:rFonts w:ascii="Arial" w:hAnsi="Arial" w:cs="Arial"/>
          <w:b/>
          <w:bCs/>
          <w:sz w:val="18"/>
          <w:szCs w:val="18"/>
        </w:rPr>
        <w:t>Percentage of the Disabled in Palestine by Sex and Age</w:t>
      </w:r>
      <w:r w:rsidRPr="00632B94">
        <w:rPr>
          <w:rFonts w:ascii="Arial" w:hAnsi="Arial" w:cs="Arial"/>
          <w:b/>
          <w:bCs/>
          <w:sz w:val="16"/>
          <w:szCs w:val="16"/>
        </w:rPr>
        <w:t xml:space="preserve"> </w:t>
      </w:r>
      <w:r w:rsidRPr="00632B94">
        <w:rPr>
          <w:rFonts w:ascii="Arial" w:hAnsi="Arial" w:cs="Arial"/>
          <w:b/>
          <w:bCs/>
          <w:sz w:val="18"/>
          <w:szCs w:val="18"/>
        </w:rPr>
        <w:t>Group, 2017</w:t>
      </w:r>
    </w:p>
    <w:p w:rsidR="00971292" w:rsidRPr="00632B94" w:rsidRDefault="00971292" w:rsidP="00971292">
      <w:pPr>
        <w:pStyle w:val="ListParagraph"/>
        <w:bidi w:val="0"/>
        <w:ind w:left="0"/>
        <w:jc w:val="center"/>
        <w:rPr>
          <w:rFonts w:ascii="Arial" w:hAnsi="Arial" w:cs="Arial"/>
          <w:b/>
          <w:bCs/>
          <w:sz w:val="10"/>
          <w:szCs w:val="10"/>
        </w:rPr>
      </w:pPr>
    </w:p>
    <w:p w:rsidR="00971292" w:rsidRPr="00632B94" w:rsidRDefault="00971292" w:rsidP="00971292">
      <w:pPr>
        <w:pStyle w:val="ListParagraph"/>
        <w:tabs>
          <w:tab w:val="left" w:pos="7087"/>
        </w:tabs>
        <w:bidi w:val="0"/>
        <w:ind w:left="0"/>
        <w:jc w:val="center"/>
        <w:rPr>
          <w:rFonts w:ascii="Simplified Arabic" w:hAnsi="Simplified Arabic"/>
          <w:b/>
          <w:bCs/>
          <w:noProof w:val="0"/>
          <w:sz w:val="18"/>
          <w:szCs w:val="18"/>
          <w:rtl/>
        </w:rPr>
      </w:pPr>
      <w:r w:rsidRPr="00632B94">
        <w:rPr>
          <w:bdr w:val="single" w:sz="4" w:space="0" w:color="auto"/>
        </w:rPr>
        <w:drawing>
          <wp:inline distT="0" distB="0" distL="0" distR="0">
            <wp:extent cx="4197350" cy="1517650"/>
            <wp:effectExtent l="0" t="0" r="0" b="0"/>
            <wp:docPr id="11" name="مخطط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84AEE" w:rsidRDefault="00084AEE" w:rsidP="00BB3F92">
      <w:pPr>
        <w:pStyle w:val="ListParagraph"/>
        <w:bidi w:val="0"/>
        <w:ind w:left="0"/>
        <w:jc w:val="lowKashida"/>
        <w:rPr>
          <w:rFonts w:cs="Times New Roman"/>
          <w:i/>
          <w:iCs/>
          <w:sz w:val="20"/>
          <w:u w:val="single"/>
        </w:rPr>
      </w:pPr>
    </w:p>
    <w:p w:rsidR="00D27191" w:rsidRDefault="00D27191" w:rsidP="0078627E">
      <w:pPr>
        <w:pStyle w:val="ListParagraph"/>
        <w:bidi w:val="0"/>
        <w:ind w:left="0"/>
        <w:jc w:val="lowKashida"/>
        <w:rPr>
          <w:rFonts w:cs="Times New Roman"/>
          <w:b/>
          <w:bCs/>
          <w:i/>
          <w:iCs/>
          <w:sz w:val="18"/>
          <w:szCs w:val="18"/>
          <w:u w:val="single"/>
        </w:rPr>
      </w:pPr>
      <w:r w:rsidRPr="00E126B8">
        <w:rPr>
          <w:rFonts w:cs="Times New Roman"/>
          <w:b/>
          <w:bCs/>
          <w:i/>
          <w:iCs/>
          <w:sz w:val="18"/>
          <w:szCs w:val="18"/>
          <w:u w:val="single"/>
        </w:rPr>
        <w:t>For more details on health, see the tables in chapter 1.</w:t>
      </w:r>
      <w:r w:rsidR="00BB3F92" w:rsidRPr="00E126B8">
        <w:rPr>
          <w:rFonts w:cs="Times New Roman"/>
          <w:b/>
          <w:bCs/>
          <w:i/>
          <w:iCs/>
          <w:sz w:val="18"/>
          <w:szCs w:val="18"/>
          <w:u w:val="single"/>
        </w:rPr>
        <w:t>4</w:t>
      </w:r>
      <w:r w:rsidRPr="00E126B8">
        <w:rPr>
          <w:rFonts w:cs="Times New Roman"/>
          <w:b/>
          <w:bCs/>
          <w:i/>
          <w:iCs/>
          <w:sz w:val="18"/>
          <w:szCs w:val="18"/>
          <w:u w:val="single"/>
        </w:rPr>
        <w:t xml:space="preserve"> of the Arabic section, pages</w:t>
      </w:r>
      <w:r w:rsidRPr="00E126B8">
        <w:rPr>
          <w:rFonts w:cs="Times New Roman"/>
          <w:b/>
          <w:bCs/>
          <w:i/>
          <w:iCs/>
          <w:sz w:val="18"/>
          <w:szCs w:val="18"/>
          <w:u w:val="single"/>
          <w:rtl/>
        </w:rPr>
        <w:t xml:space="preserve"> </w:t>
      </w:r>
      <w:r w:rsidR="0078627E">
        <w:rPr>
          <w:rFonts w:cs="Times New Roman"/>
          <w:b/>
          <w:bCs/>
          <w:i/>
          <w:iCs/>
          <w:sz w:val="18"/>
          <w:szCs w:val="18"/>
          <w:u w:val="single"/>
        </w:rPr>
        <w:t>65</w:t>
      </w:r>
      <w:r w:rsidRPr="00E126B8">
        <w:rPr>
          <w:rFonts w:cs="Times New Roman"/>
          <w:b/>
          <w:bCs/>
          <w:i/>
          <w:iCs/>
          <w:sz w:val="18"/>
          <w:szCs w:val="18"/>
          <w:u w:val="single"/>
        </w:rPr>
        <w:t>-</w:t>
      </w:r>
      <w:r w:rsidR="0078627E">
        <w:rPr>
          <w:rFonts w:cs="Times New Roman"/>
          <w:b/>
          <w:bCs/>
          <w:i/>
          <w:iCs/>
          <w:sz w:val="18"/>
          <w:szCs w:val="18"/>
          <w:u w:val="single"/>
        </w:rPr>
        <w:t>70</w:t>
      </w:r>
      <w:r w:rsidRPr="00E126B8">
        <w:rPr>
          <w:rFonts w:cs="Times New Roman"/>
          <w:b/>
          <w:bCs/>
          <w:i/>
          <w:iCs/>
          <w:sz w:val="18"/>
          <w:szCs w:val="18"/>
          <w:u w:val="single"/>
        </w:rPr>
        <w:t>.</w:t>
      </w:r>
    </w:p>
    <w:p w:rsidR="00B01406" w:rsidRPr="00E126B8" w:rsidRDefault="005356E0" w:rsidP="00B01406">
      <w:pPr>
        <w:pStyle w:val="ListParagraph"/>
        <w:bidi w:val="0"/>
        <w:ind w:left="0"/>
        <w:jc w:val="lowKashida"/>
        <w:rPr>
          <w:rFonts w:cs="Times New Roman"/>
          <w:b/>
          <w:bCs/>
          <w:i/>
          <w:iCs/>
          <w:sz w:val="18"/>
          <w:szCs w:val="18"/>
          <w:u w:val="single"/>
        </w:rPr>
      </w:pPr>
      <w:r w:rsidRPr="005356E0">
        <w:rPr>
          <w:rFonts w:cs="Times New Roman"/>
          <w:i/>
          <w:iCs/>
          <w:sz w:val="20"/>
          <w:u w:val="single"/>
        </w:rPr>
        <w:pict>
          <v:rect id="_x0000_s1033" style="position:absolute;left:0;text-align:left;margin-left:166.3pt;margin-top:7.35pt;width:202pt;height:27pt;z-index:251685888" stroked="f">
            <v:textbox>
              <w:txbxContent>
                <w:p w:rsidR="00C10B40" w:rsidRPr="00DD47EC" w:rsidRDefault="00C10B40" w:rsidP="00FE7059">
                  <w:pPr>
                    <w:pStyle w:val="Title"/>
                    <w:tabs>
                      <w:tab w:val="left" w:pos="1273"/>
                      <w:tab w:val="center" w:pos="3685"/>
                    </w:tabs>
                    <w:bidi w:val="0"/>
                    <w:rPr>
                      <w:rFonts w:ascii="Arial" w:hAnsi="Arial" w:cs="Arial"/>
                      <w:sz w:val="18"/>
                      <w:szCs w:val="18"/>
                    </w:rPr>
                  </w:pPr>
                  <w:r w:rsidRPr="00FE7059">
                    <w:rPr>
                      <w:rFonts w:ascii="Arial" w:hAnsi="Arial" w:cs="Arial"/>
                      <w:sz w:val="16"/>
                      <w:szCs w:val="16"/>
                    </w:rPr>
                    <w:t>Average Housing Density of Households in Palestine by</w:t>
                  </w:r>
                  <w:r>
                    <w:rPr>
                      <w:rFonts w:ascii="Arial" w:hAnsi="Arial" w:cs="Arial"/>
                      <w:sz w:val="16"/>
                      <w:szCs w:val="16"/>
                    </w:rPr>
                    <w:t xml:space="preserve"> </w:t>
                  </w:r>
                  <w:r w:rsidRPr="00DD47EC">
                    <w:rPr>
                      <w:rFonts w:ascii="Arial" w:hAnsi="Arial" w:cs="Arial"/>
                      <w:sz w:val="18"/>
                      <w:szCs w:val="18"/>
                    </w:rPr>
                    <w:t>Governorate, 2017</w:t>
                  </w:r>
                </w:p>
                <w:p w:rsidR="00C10B40" w:rsidRDefault="00C10B40"/>
              </w:txbxContent>
            </v:textbox>
            <w10:wrap anchorx="page"/>
          </v:rect>
        </w:pict>
      </w:r>
    </w:p>
    <w:p w:rsidR="00D27191" w:rsidRDefault="00FE7059" w:rsidP="00D27191">
      <w:pPr>
        <w:pStyle w:val="ListParagraph"/>
        <w:bidi w:val="0"/>
        <w:ind w:left="0"/>
        <w:jc w:val="lowKashida"/>
        <w:rPr>
          <w:rFonts w:cs="Times New Roman"/>
          <w:i/>
          <w:iCs/>
          <w:sz w:val="20"/>
          <w:u w:val="single"/>
        </w:rPr>
      </w:pPr>
      <w:r>
        <w:rPr>
          <w:rFonts w:cs="Times New Roman"/>
          <w:i/>
          <w:iCs/>
          <w:sz w:val="20"/>
          <w:u w:val="single"/>
        </w:rPr>
        <w:drawing>
          <wp:anchor distT="0" distB="0" distL="114300" distR="114300" simplePos="0" relativeHeight="251652095" behindDoc="0" locked="0" layoutInCell="1" allowOverlap="1">
            <wp:simplePos x="0" y="0"/>
            <wp:positionH relativeFrom="column">
              <wp:posOffset>2042160</wp:posOffset>
            </wp:positionH>
            <wp:positionV relativeFrom="paragraph">
              <wp:posOffset>57150</wp:posOffset>
            </wp:positionV>
            <wp:extent cx="2546350" cy="3107055"/>
            <wp:effectExtent l="19050" t="0" r="6350" b="0"/>
            <wp:wrapSquare wrapText="bothSides"/>
            <wp:docPr id="6" name="Picture 4" descr="G:\كتاب فلسطين السنوي 2015 غدير\Housing_density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كتاب فلسطين السنوي 2015 غدير\Housing_density_En.png"/>
                    <pic:cNvPicPr>
                      <a:picLocks noChangeAspect="1" noChangeArrowheads="1"/>
                    </pic:cNvPicPr>
                  </pic:nvPicPr>
                  <pic:blipFill>
                    <a:blip r:embed="rId11"/>
                    <a:srcRect l="9973" t="12522" r="9748" b="18166"/>
                    <a:stretch>
                      <a:fillRect/>
                    </a:stretch>
                  </pic:blipFill>
                  <pic:spPr bwMode="auto">
                    <a:xfrm>
                      <a:off x="0" y="0"/>
                      <a:ext cx="2546350" cy="3107055"/>
                    </a:xfrm>
                    <a:prstGeom prst="rect">
                      <a:avLst/>
                    </a:prstGeom>
                    <a:noFill/>
                    <a:ln w="9525">
                      <a:noFill/>
                      <a:miter lim="800000"/>
                      <a:headEnd/>
                      <a:tailEnd/>
                    </a:ln>
                  </pic:spPr>
                </pic:pic>
              </a:graphicData>
            </a:graphic>
          </wp:anchor>
        </w:drawing>
      </w:r>
    </w:p>
    <w:p w:rsidR="00084AEE" w:rsidRPr="00632B94" w:rsidRDefault="00084AEE" w:rsidP="00332048">
      <w:pPr>
        <w:pStyle w:val="Title"/>
        <w:numPr>
          <w:ilvl w:val="0"/>
          <w:numId w:val="19"/>
        </w:numPr>
        <w:bidi w:val="0"/>
        <w:ind w:left="252" w:hanging="252"/>
        <w:jc w:val="left"/>
        <w:rPr>
          <w:rFonts w:cs="Traditional Arabic"/>
          <w:sz w:val="20"/>
          <w:szCs w:val="20"/>
        </w:rPr>
      </w:pPr>
      <w:r w:rsidRPr="00632B94">
        <w:rPr>
          <w:rFonts w:cs="Traditional Arabic"/>
          <w:sz w:val="20"/>
          <w:szCs w:val="20"/>
        </w:rPr>
        <w:t>Housing and Housing Conditions</w:t>
      </w:r>
    </w:p>
    <w:p w:rsidR="00084AEE" w:rsidRPr="00632B94" w:rsidRDefault="00084AEE"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In 2017, </w:t>
      </w:r>
      <w:r w:rsidR="00D86CF8">
        <w:rPr>
          <w:noProof/>
        </w:rPr>
        <w:t>t</w:t>
      </w:r>
      <w:r w:rsidR="00D86CF8" w:rsidRPr="00632B94">
        <w:rPr>
          <w:noProof/>
        </w:rPr>
        <w:t xml:space="preserve">he </w:t>
      </w:r>
      <w:r w:rsidRPr="00632B94">
        <w:rPr>
          <w:noProof/>
        </w:rPr>
        <w:t xml:space="preserve">average housing density in Palestine was </w:t>
      </w:r>
      <w:r w:rsidRPr="00632B94">
        <w:rPr>
          <w:rFonts w:hint="cs"/>
          <w:noProof/>
          <w:rtl/>
        </w:rPr>
        <w:t>1.4</w:t>
      </w:r>
      <w:r w:rsidRPr="00632B94">
        <w:rPr>
          <w:noProof/>
        </w:rPr>
        <w:t xml:space="preserve"> persons per room. The average for the West Bank was 1.</w:t>
      </w:r>
      <w:r w:rsidRPr="00632B94">
        <w:rPr>
          <w:rFonts w:hint="cs"/>
          <w:noProof/>
          <w:rtl/>
        </w:rPr>
        <w:t>3</w:t>
      </w:r>
      <w:r w:rsidRPr="00632B94">
        <w:rPr>
          <w:noProof/>
        </w:rPr>
        <w:t xml:space="preserve"> compared with </w:t>
      </w:r>
      <w:r w:rsidRPr="00632B94">
        <w:rPr>
          <w:rFonts w:hint="cs"/>
          <w:noProof/>
          <w:rtl/>
        </w:rPr>
        <w:t>1.6</w:t>
      </w:r>
      <w:r w:rsidRPr="00632B94">
        <w:rPr>
          <w:noProof/>
        </w:rPr>
        <w:t xml:space="preserve"> persons per room in Gaza Strip.</w:t>
      </w:r>
    </w:p>
    <w:p w:rsidR="00084AEE" w:rsidRPr="00632B94" w:rsidRDefault="00084AEE"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 1.1% of households in Palestine lived in a villa, </w:t>
      </w:r>
      <w:r w:rsidRPr="00632B94">
        <w:rPr>
          <w:rFonts w:hint="cs"/>
          <w:noProof/>
          <w:rtl/>
        </w:rPr>
        <w:t>35.</w:t>
      </w:r>
      <w:r w:rsidRPr="00632B94">
        <w:rPr>
          <w:noProof/>
        </w:rPr>
        <w:t xml:space="preserve">3% lived in a house, and </w:t>
      </w:r>
      <w:r w:rsidRPr="00632B94">
        <w:rPr>
          <w:rFonts w:hint="cs"/>
          <w:noProof/>
          <w:rtl/>
        </w:rPr>
        <w:t>6</w:t>
      </w:r>
      <w:r w:rsidRPr="00632B94">
        <w:rPr>
          <w:noProof/>
        </w:rPr>
        <w:t>1.5 % lived in an apartment.</w:t>
      </w:r>
    </w:p>
    <w:p w:rsidR="00B01406" w:rsidRDefault="00B01406" w:rsidP="00B01406">
      <w:pPr>
        <w:pStyle w:val="ListParagraph"/>
        <w:bidi w:val="0"/>
        <w:ind w:left="0"/>
        <w:jc w:val="lowKashida"/>
        <w:rPr>
          <w:rFonts w:cs="Times New Roman"/>
          <w:b/>
          <w:bCs/>
          <w:i/>
          <w:iCs/>
          <w:sz w:val="18"/>
          <w:szCs w:val="18"/>
          <w:u w:val="single"/>
        </w:rPr>
      </w:pPr>
    </w:p>
    <w:p w:rsidR="00084AEE" w:rsidRPr="00E126B8" w:rsidRDefault="00084AEE" w:rsidP="0078627E">
      <w:pPr>
        <w:pStyle w:val="ListParagraph"/>
        <w:bidi w:val="0"/>
        <w:ind w:left="0"/>
        <w:jc w:val="lowKashida"/>
        <w:rPr>
          <w:rFonts w:cs="Times New Roman"/>
          <w:b/>
          <w:bCs/>
          <w:i/>
          <w:iCs/>
          <w:sz w:val="18"/>
          <w:szCs w:val="18"/>
          <w:u w:val="single"/>
        </w:rPr>
      </w:pPr>
      <w:r w:rsidRPr="00E126B8">
        <w:rPr>
          <w:rFonts w:cs="Times New Roman"/>
          <w:b/>
          <w:bCs/>
          <w:i/>
          <w:iCs/>
          <w:sz w:val="18"/>
          <w:szCs w:val="18"/>
          <w:u w:val="single"/>
        </w:rPr>
        <w:t xml:space="preserve">For more details on housing and housing conditions, see the tables in chapter 1.5 of the Arabic section, pages </w:t>
      </w:r>
      <w:r w:rsidR="0078627E">
        <w:rPr>
          <w:rFonts w:cs="Times New Roman"/>
          <w:b/>
          <w:bCs/>
          <w:i/>
          <w:iCs/>
          <w:sz w:val="18"/>
          <w:szCs w:val="18"/>
          <w:u w:val="single"/>
        </w:rPr>
        <w:t>71</w:t>
      </w:r>
      <w:r w:rsidRPr="00E126B8">
        <w:rPr>
          <w:rFonts w:cs="Times New Roman"/>
          <w:b/>
          <w:bCs/>
          <w:i/>
          <w:iCs/>
          <w:sz w:val="18"/>
          <w:szCs w:val="18"/>
          <w:u w:val="single"/>
        </w:rPr>
        <w:t>-80.</w:t>
      </w:r>
    </w:p>
    <w:p w:rsidR="00084AEE" w:rsidRDefault="00084AEE" w:rsidP="00084AEE">
      <w:pPr>
        <w:pStyle w:val="ListParagraph"/>
        <w:bidi w:val="0"/>
        <w:ind w:left="0"/>
        <w:jc w:val="lowKashida"/>
        <w:rPr>
          <w:rFonts w:cs="Times New Roman"/>
          <w:i/>
          <w:iCs/>
          <w:sz w:val="20"/>
          <w:u w:val="single"/>
        </w:rPr>
      </w:pPr>
    </w:p>
    <w:p w:rsidR="00B20E56" w:rsidRDefault="00B20E56" w:rsidP="00B20E56">
      <w:pPr>
        <w:pStyle w:val="Title"/>
        <w:bidi w:val="0"/>
        <w:jc w:val="left"/>
        <w:rPr>
          <w:rFonts w:cs="Traditional Arabic"/>
          <w:sz w:val="20"/>
          <w:szCs w:val="20"/>
        </w:rPr>
      </w:pPr>
    </w:p>
    <w:p w:rsidR="00B20E56" w:rsidRDefault="00B20E56" w:rsidP="00B20E56">
      <w:pPr>
        <w:pStyle w:val="Title"/>
        <w:bidi w:val="0"/>
        <w:jc w:val="left"/>
        <w:rPr>
          <w:rFonts w:cs="Traditional Arabic"/>
          <w:sz w:val="20"/>
          <w:szCs w:val="20"/>
        </w:rPr>
      </w:pPr>
    </w:p>
    <w:p w:rsidR="00B20E56" w:rsidRDefault="00B20E56" w:rsidP="00B20E56">
      <w:pPr>
        <w:pStyle w:val="Title"/>
        <w:bidi w:val="0"/>
        <w:jc w:val="left"/>
        <w:rPr>
          <w:rFonts w:cs="Traditional Arabic"/>
          <w:sz w:val="20"/>
          <w:szCs w:val="20"/>
        </w:rPr>
      </w:pPr>
    </w:p>
    <w:p w:rsidR="00D27191" w:rsidRPr="00632B94" w:rsidRDefault="00D27191" w:rsidP="00B20E56">
      <w:pPr>
        <w:pStyle w:val="Title"/>
        <w:numPr>
          <w:ilvl w:val="0"/>
          <w:numId w:val="19"/>
        </w:numPr>
        <w:bidi w:val="0"/>
        <w:ind w:left="252" w:hanging="252"/>
        <w:jc w:val="left"/>
        <w:rPr>
          <w:rFonts w:cs="Traditional Arabic"/>
          <w:sz w:val="20"/>
          <w:szCs w:val="20"/>
        </w:rPr>
      </w:pPr>
      <w:r w:rsidRPr="00632B94">
        <w:rPr>
          <w:rFonts w:cs="Traditional Arabic"/>
          <w:sz w:val="20"/>
          <w:szCs w:val="20"/>
        </w:rPr>
        <w:t xml:space="preserve">Labor and Wages                               </w:t>
      </w:r>
    </w:p>
    <w:p w:rsidR="00B617D2" w:rsidRPr="00632B94" w:rsidRDefault="005356E0" w:rsidP="00B01406">
      <w:pPr>
        <w:pStyle w:val="BodyText2"/>
        <w:numPr>
          <w:ilvl w:val="0"/>
          <w:numId w:val="2"/>
        </w:numPr>
        <w:overflowPunct/>
        <w:autoSpaceDE/>
        <w:autoSpaceDN/>
        <w:adjustRightInd/>
        <w:spacing w:after="120"/>
        <w:ind w:left="266" w:hanging="266"/>
        <w:textAlignment w:val="auto"/>
        <w:rPr>
          <w:noProof/>
        </w:rPr>
      </w:pPr>
      <w:r>
        <w:rPr>
          <w:noProof/>
        </w:rPr>
        <w:pict>
          <v:rect id="_x0000_s1034" style="position:absolute;left:0;text-align:left;margin-left:137.45pt;margin-top:18.1pt;width:249.15pt;height:22.2pt;z-index:251686912" stroked="f">
            <v:textbox>
              <w:txbxContent>
                <w:p w:rsidR="00C10B40" w:rsidRPr="009D694D" w:rsidRDefault="00C10B40" w:rsidP="009D694D">
                  <w:pPr>
                    <w:jc w:val="center"/>
                    <w:rPr>
                      <w:rFonts w:ascii="Arial" w:hAnsi="Arial" w:cs="Arial"/>
                      <w:b/>
                      <w:bCs/>
                      <w:snapToGrid w:val="0"/>
                      <w:sz w:val="14"/>
                      <w:szCs w:val="14"/>
                    </w:rPr>
                  </w:pPr>
                  <w:r w:rsidRPr="009D694D">
                    <w:rPr>
                      <w:rFonts w:ascii="Arial" w:hAnsi="Arial"/>
                      <w:b/>
                      <w:bCs/>
                      <w:snapToGrid w:val="0"/>
                      <w:sz w:val="14"/>
                      <w:szCs w:val="14"/>
                    </w:rPr>
                    <w:t>Unemployment</w:t>
                  </w:r>
                  <w:r w:rsidRPr="009D694D">
                    <w:rPr>
                      <w:rFonts w:ascii="Arial" w:hAnsi="Arial" w:cs="Arial"/>
                      <w:b/>
                      <w:bCs/>
                      <w:snapToGrid w:val="0"/>
                      <w:sz w:val="14"/>
                      <w:szCs w:val="14"/>
                    </w:rPr>
                    <w:t xml:space="preserve"> </w:t>
                  </w:r>
                  <w:r w:rsidRPr="009D694D">
                    <w:rPr>
                      <w:rFonts w:ascii="Arial" w:hAnsi="Arial" w:cs="Arial"/>
                      <w:b/>
                      <w:bCs/>
                      <w:sz w:val="14"/>
                      <w:szCs w:val="14"/>
                    </w:rPr>
                    <w:t xml:space="preserve">Rate between Persons </w:t>
                  </w:r>
                  <w:r w:rsidRPr="009D694D">
                    <w:rPr>
                      <w:rFonts w:ascii="Arial" w:hAnsi="Arial" w:cs="Arial"/>
                      <w:b/>
                      <w:bCs/>
                      <w:snapToGrid w:val="0"/>
                      <w:sz w:val="14"/>
                      <w:szCs w:val="14"/>
                    </w:rPr>
                    <w:t xml:space="preserve">(15 Years and Above) in Palestine by </w:t>
                  </w:r>
                  <w:r w:rsidRPr="009D694D">
                    <w:rPr>
                      <w:rFonts w:ascii="Arial" w:hAnsi="Arial" w:cs="Arial"/>
                      <w:b/>
                      <w:bCs/>
                      <w:sz w:val="14"/>
                      <w:szCs w:val="14"/>
                    </w:rPr>
                    <w:t>Governorate</w:t>
                  </w:r>
                  <w:r w:rsidRPr="009D694D">
                    <w:rPr>
                      <w:rFonts w:ascii="Arial" w:hAnsi="Arial" w:cs="Arial"/>
                      <w:b/>
                      <w:bCs/>
                      <w:snapToGrid w:val="0"/>
                      <w:sz w:val="14"/>
                      <w:szCs w:val="14"/>
                    </w:rPr>
                    <w:t>, 2017</w:t>
                  </w:r>
                </w:p>
                <w:p w:rsidR="00C10B40" w:rsidRDefault="00C10B40"/>
              </w:txbxContent>
            </v:textbox>
            <w10:wrap anchorx="page"/>
          </v:rect>
        </w:pict>
      </w:r>
      <w:r w:rsidR="00FE7059">
        <w:rPr>
          <w:noProof/>
        </w:rPr>
        <w:drawing>
          <wp:anchor distT="0" distB="0" distL="114300" distR="114300" simplePos="0" relativeHeight="251681792" behindDoc="0" locked="0" layoutInCell="1" allowOverlap="1">
            <wp:simplePos x="0" y="0"/>
            <wp:positionH relativeFrom="column">
              <wp:posOffset>1692910</wp:posOffset>
            </wp:positionH>
            <wp:positionV relativeFrom="paragraph">
              <wp:posOffset>226060</wp:posOffset>
            </wp:positionV>
            <wp:extent cx="2879725" cy="3600450"/>
            <wp:effectExtent l="19050" t="0" r="0" b="0"/>
            <wp:wrapSquare wrapText="bothSides"/>
            <wp:docPr id="17" name="Picture 7" descr="G:\بعد ادخال المواد عليه كتاب فلسطين الاحصائي 2017\الخرائط  الاحصائية 2017\الخرائط 2017\Unemployment_rate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G:\بعد ادخال المواد عليه كتاب فلسطين الاحصائي 2017\الخرائط  الاحصائية 2017\الخرائط 2017\Unemployment_rate_En.png"/>
                    <pic:cNvPicPr>
                      <a:picLocks noChangeAspect="1" noChangeArrowheads="1"/>
                    </pic:cNvPicPr>
                  </pic:nvPicPr>
                  <pic:blipFill>
                    <a:blip r:embed="rId12"/>
                    <a:srcRect l="9723" t="13228" r="10247" b="16402"/>
                    <a:stretch>
                      <a:fillRect/>
                    </a:stretch>
                  </pic:blipFill>
                  <pic:spPr bwMode="auto">
                    <a:xfrm>
                      <a:off x="0" y="0"/>
                      <a:ext cx="2879725" cy="3600450"/>
                    </a:xfrm>
                    <a:prstGeom prst="rect">
                      <a:avLst/>
                    </a:prstGeom>
                    <a:noFill/>
                    <a:ln w="9525">
                      <a:noFill/>
                      <a:miter lim="800000"/>
                      <a:headEnd/>
                      <a:tailEnd/>
                    </a:ln>
                  </pic:spPr>
                </pic:pic>
              </a:graphicData>
            </a:graphic>
          </wp:anchor>
        </w:drawing>
      </w:r>
      <w:r w:rsidR="00B617D2" w:rsidRPr="00632B94">
        <w:rPr>
          <w:noProof/>
        </w:rPr>
        <w:t xml:space="preserve">In 2017, the labor force participation rate in Palestine was </w:t>
      </w:r>
      <w:r w:rsidR="00B01406">
        <w:rPr>
          <w:noProof/>
        </w:rPr>
        <w:t>45.7</w:t>
      </w:r>
      <w:r w:rsidR="00B617D2" w:rsidRPr="00632B94">
        <w:rPr>
          <w:noProof/>
        </w:rPr>
        <w:t xml:space="preserve">%: </w:t>
      </w:r>
      <w:r w:rsidR="00B01406">
        <w:rPr>
          <w:noProof/>
        </w:rPr>
        <w:t>71.6</w:t>
      </w:r>
      <w:r w:rsidR="00B617D2" w:rsidRPr="00632B94">
        <w:rPr>
          <w:noProof/>
        </w:rPr>
        <w:t>% for males and 19.</w:t>
      </w:r>
      <w:r w:rsidR="00B01406">
        <w:rPr>
          <w:noProof/>
        </w:rPr>
        <w:t>2</w:t>
      </w:r>
      <w:r w:rsidR="00B617D2" w:rsidRPr="00632B94">
        <w:rPr>
          <w:noProof/>
        </w:rPr>
        <w:t>% for females.</w:t>
      </w:r>
    </w:p>
    <w:p w:rsidR="00B617D2" w:rsidRPr="00632B94" w:rsidRDefault="00B617D2" w:rsidP="00B01406">
      <w:pPr>
        <w:pStyle w:val="BodyText2"/>
        <w:numPr>
          <w:ilvl w:val="0"/>
          <w:numId w:val="2"/>
        </w:numPr>
        <w:overflowPunct/>
        <w:autoSpaceDE/>
        <w:autoSpaceDN/>
        <w:adjustRightInd/>
        <w:spacing w:after="120"/>
        <w:ind w:left="266" w:hanging="266"/>
        <w:textAlignment w:val="auto"/>
        <w:rPr>
          <w:noProof/>
        </w:rPr>
      </w:pPr>
      <w:r w:rsidRPr="00632B94">
        <w:rPr>
          <w:noProof/>
        </w:rPr>
        <w:t xml:space="preserve">In 2017, the unemployment rate was </w:t>
      </w:r>
      <w:r w:rsidR="00B01406">
        <w:rPr>
          <w:noProof/>
        </w:rPr>
        <w:t>28.4</w:t>
      </w:r>
      <w:r w:rsidRPr="00632B94">
        <w:rPr>
          <w:noProof/>
        </w:rPr>
        <w:t xml:space="preserve">% in Palestine: </w:t>
      </w:r>
      <w:r w:rsidR="00B01406">
        <w:rPr>
          <w:noProof/>
        </w:rPr>
        <w:t>23.2</w:t>
      </w:r>
      <w:r w:rsidRPr="00632B94">
        <w:rPr>
          <w:noProof/>
        </w:rPr>
        <w:t xml:space="preserve">% for males and </w:t>
      </w:r>
      <w:r w:rsidR="00B01406">
        <w:rPr>
          <w:noProof/>
        </w:rPr>
        <w:t>48.2</w:t>
      </w:r>
      <w:r w:rsidRPr="00632B94">
        <w:rPr>
          <w:noProof/>
        </w:rPr>
        <w:t>% for females.</w:t>
      </w:r>
    </w:p>
    <w:p w:rsidR="00B617D2" w:rsidRPr="00632B94" w:rsidRDefault="00B617D2" w:rsidP="00332048">
      <w:pPr>
        <w:pStyle w:val="BodyText2"/>
        <w:numPr>
          <w:ilvl w:val="0"/>
          <w:numId w:val="2"/>
        </w:numPr>
        <w:overflowPunct/>
        <w:autoSpaceDE/>
        <w:autoSpaceDN/>
        <w:adjustRightInd/>
        <w:spacing w:after="120"/>
        <w:ind w:left="266" w:hanging="266"/>
        <w:textAlignment w:val="auto"/>
        <w:rPr>
          <w:noProof/>
        </w:rPr>
      </w:pPr>
      <w:r w:rsidRPr="00632B94">
        <w:rPr>
          <w:noProof/>
        </w:rPr>
        <w:t>Most workers (70.4%) in Palestine</w:t>
      </w:r>
      <w:r w:rsidR="00AF38C8">
        <w:rPr>
          <w:noProof/>
        </w:rPr>
        <w:t>,</w:t>
      </w:r>
      <w:r w:rsidRPr="00632B94">
        <w:rPr>
          <w:noProof/>
        </w:rPr>
        <w:t xml:space="preserve"> in </w:t>
      </w:r>
      <w:r w:rsidRPr="00632B94">
        <w:rPr>
          <w:rFonts w:hint="cs"/>
          <w:noProof/>
          <w:rtl/>
        </w:rPr>
        <w:t>2017</w:t>
      </w:r>
      <w:r w:rsidR="00AF38C8">
        <w:rPr>
          <w:noProof/>
        </w:rPr>
        <w:t>,</w:t>
      </w:r>
      <w:r w:rsidRPr="00632B94">
        <w:rPr>
          <w:noProof/>
        </w:rPr>
        <w:t xml:space="preserve"> were waged employees: 91.1% of workers in Israel and Israeli settlements are waged employees.</w:t>
      </w:r>
    </w:p>
    <w:p w:rsidR="00B617D2" w:rsidRPr="00632B94" w:rsidRDefault="00B617D2" w:rsidP="00332048">
      <w:pPr>
        <w:pStyle w:val="BodyText2"/>
        <w:numPr>
          <w:ilvl w:val="0"/>
          <w:numId w:val="2"/>
        </w:numPr>
        <w:overflowPunct/>
        <w:autoSpaceDE/>
        <w:autoSpaceDN/>
        <w:adjustRightInd/>
        <w:spacing w:after="120"/>
        <w:ind w:left="266" w:hanging="266"/>
        <w:textAlignment w:val="auto"/>
        <w:rPr>
          <w:noProof/>
        </w:rPr>
      </w:pPr>
      <w:r w:rsidRPr="00632B94">
        <w:rPr>
          <w:noProof/>
        </w:rPr>
        <w:t>3.4% of children in Palestine were in employment: 6.6% males and 0.1% females in 2017.</w:t>
      </w:r>
    </w:p>
    <w:p w:rsidR="002C5122" w:rsidRPr="00632B94" w:rsidRDefault="002C5122" w:rsidP="002C5122">
      <w:pPr>
        <w:jc w:val="center"/>
        <w:rPr>
          <w:rFonts w:ascii="Arial" w:hAnsi="Arial" w:cs="Arial"/>
          <w:b/>
          <w:bCs/>
          <w:snapToGrid w:val="0"/>
          <w:sz w:val="18"/>
          <w:szCs w:val="18"/>
        </w:rPr>
      </w:pPr>
    </w:p>
    <w:p w:rsidR="00084AEE" w:rsidRDefault="00084AEE" w:rsidP="002C5122">
      <w:pPr>
        <w:jc w:val="center"/>
        <w:rPr>
          <w:rFonts w:ascii="Arial" w:hAnsi="Arial" w:cs="Arial"/>
          <w:b/>
          <w:bCs/>
          <w:snapToGrid w:val="0"/>
          <w:sz w:val="18"/>
          <w:szCs w:val="18"/>
        </w:rPr>
      </w:pPr>
    </w:p>
    <w:p w:rsidR="00084AEE" w:rsidRDefault="00084AEE" w:rsidP="002C5122">
      <w:pPr>
        <w:jc w:val="center"/>
        <w:rPr>
          <w:rFonts w:ascii="Arial" w:hAnsi="Arial" w:cs="Arial"/>
          <w:b/>
          <w:bCs/>
          <w:snapToGrid w:val="0"/>
          <w:sz w:val="18"/>
          <w:szCs w:val="18"/>
        </w:rPr>
      </w:pPr>
    </w:p>
    <w:p w:rsidR="00DA079A" w:rsidRDefault="00DA079A" w:rsidP="002C5122">
      <w:pPr>
        <w:jc w:val="center"/>
        <w:rPr>
          <w:rFonts w:ascii="Arial" w:hAnsi="Arial" w:cs="Arial"/>
          <w:b/>
          <w:bCs/>
          <w:snapToGrid w:val="0"/>
          <w:sz w:val="18"/>
          <w:szCs w:val="18"/>
        </w:rPr>
      </w:pPr>
    </w:p>
    <w:p w:rsidR="00FE7059" w:rsidRDefault="00FE7059" w:rsidP="002C5122">
      <w:pPr>
        <w:jc w:val="center"/>
        <w:rPr>
          <w:rFonts w:ascii="Arial" w:hAnsi="Arial" w:cs="Arial"/>
          <w:b/>
          <w:bCs/>
          <w:snapToGrid w:val="0"/>
          <w:sz w:val="18"/>
          <w:szCs w:val="18"/>
        </w:rPr>
      </w:pPr>
    </w:p>
    <w:p w:rsidR="00FE7059" w:rsidRDefault="00FE7059" w:rsidP="002C5122">
      <w:pPr>
        <w:jc w:val="center"/>
        <w:rPr>
          <w:rFonts w:ascii="Arial" w:hAnsi="Arial" w:cs="Arial"/>
          <w:b/>
          <w:bCs/>
          <w:snapToGrid w:val="0"/>
          <w:sz w:val="18"/>
          <w:szCs w:val="18"/>
        </w:rPr>
      </w:pPr>
    </w:p>
    <w:p w:rsidR="00FE7059" w:rsidRDefault="00FE7059" w:rsidP="002C5122">
      <w:pPr>
        <w:jc w:val="center"/>
        <w:rPr>
          <w:rFonts w:ascii="Arial" w:hAnsi="Arial" w:cs="Arial"/>
          <w:b/>
          <w:bCs/>
          <w:snapToGrid w:val="0"/>
          <w:sz w:val="18"/>
          <w:szCs w:val="18"/>
        </w:rPr>
      </w:pPr>
    </w:p>
    <w:p w:rsidR="00FE7059" w:rsidRDefault="00FE7059" w:rsidP="002C5122">
      <w:pPr>
        <w:jc w:val="center"/>
        <w:rPr>
          <w:rFonts w:ascii="Arial" w:hAnsi="Arial" w:cs="Arial"/>
          <w:b/>
          <w:bCs/>
          <w:snapToGrid w:val="0"/>
          <w:sz w:val="18"/>
          <w:szCs w:val="18"/>
        </w:rPr>
      </w:pPr>
    </w:p>
    <w:p w:rsidR="00FE7059" w:rsidRDefault="00FE7059" w:rsidP="002C5122">
      <w:pPr>
        <w:jc w:val="center"/>
        <w:rPr>
          <w:rFonts w:ascii="Arial" w:hAnsi="Arial" w:cs="Arial"/>
          <w:b/>
          <w:bCs/>
          <w:snapToGrid w:val="0"/>
          <w:sz w:val="18"/>
          <w:szCs w:val="18"/>
        </w:rPr>
      </w:pPr>
    </w:p>
    <w:p w:rsidR="002C5122" w:rsidRPr="00632B94" w:rsidRDefault="002C5122" w:rsidP="002C5122">
      <w:pPr>
        <w:jc w:val="center"/>
        <w:rPr>
          <w:rFonts w:ascii="Arial" w:hAnsi="Arial" w:cs="Arial"/>
          <w:b/>
          <w:bCs/>
          <w:snapToGrid w:val="0"/>
          <w:sz w:val="18"/>
          <w:szCs w:val="18"/>
        </w:rPr>
      </w:pPr>
      <w:r w:rsidRPr="00632B94">
        <w:rPr>
          <w:rFonts w:ascii="Arial" w:hAnsi="Arial" w:cs="Arial"/>
          <w:b/>
          <w:bCs/>
          <w:snapToGrid w:val="0"/>
          <w:sz w:val="18"/>
          <w:szCs w:val="18"/>
        </w:rPr>
        <w:t>Percentage of Population (15 Years and Above) in Palestine by Labor Force Status and Age Groups, 2017</w:t>
      </w:r>
    </w:p>
    <w:p w:rsidR="002C5122" w:rsidRPr="00632B94" w:rsidRDefault="002C5122" w:rsidP="002C5122">
      <w:pPr>
        <w:jc w:val="center"/>
        <w:rPr>
          <w:rFonts w:ascii="Arial" w:hAnsi="Arial" w:cs="Arial"/>
          <w:b/>
          <w:bCs/>
          <w:snapToGrid w:val="0"/>
          <w:sz w:val="10"/>
          <w:szCs w:val="10"/>
        </w:rPr>
      </w:pPr>
    </w:p>
    <w:p w:rsidR="002C5122" w:rsidRPr="00632B94" w:rsidRDefault="002C5122" w:rsidP="002C5122">
      <w:pPr>
        <w:jc w:val="lowKashida"/>
        <w:rPr>
          <w:b/>
          <w:bCs/>
          <w:rtl/>
        </w:rPr>
      </w:pPr>
      <w:r w:rsidRPr="00632B94">
        <w:rPr>
          <w:noProof/>
          <w:bdr w:val="single" w:sz="4" w:space="0" w:color="auto"/>
          <w:vertAlign w:val="subscript"/>
        </w:rPr>
        <w:drawing>
          <wp:inline distT="0" distB="0" distL="0" distR="0">
            <wp:extent cx="4315968" cy="1806854"/>
            <wp:effectExtent l="0" t="0" r="0" b="0"/>
            <wp:docPr id="9"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084AEE" w:rsidRDefault="00084AEE" w:rsidP="002C5122">
      <w:pPr>
        <w:pStyle w:val="ListParagraph"/>
        <w:bidi w:val="0"/>
        <w:ind w:left="0"/>
        <w:jc w:val="lowKashida"/>
        <w:rPr>
          <w:rFonts w:cs="Times New Roman"/>
          <w:i/>
          <w:iCs/>
          <w:sz w:val="20"/>
          <w:u w:val="single"/>
        </w:rPr>
      </w:pPr>
    </w:p>
    <w:p w:rsidR="002C5122" w:rsidRPr="00332048" w:rsidRDefault="002C5122" w:rsidP="00084AEE">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details on labor and wages, see the tables in chapter 1.</w:t>
      </w:r>
      <w:r w:rsidR="00084AEE" w:rsidRPr="00332048">
        <w:rPr>
          <w:rFonts w:cs="Times New Roman"/>
          <w:b/>
          <w:bCs/>
          <w:i/>
          <w:iCs/>
          <w:sz w:val="18"/>
          <w:szCs w:val="18"/>
          <w:u w:val="single"/>
        </w:rPr>
        <w:t>6</w:t>
      </w:r>
      <w:r w:rsidRPr="00332048">
        <w:rPr>
          <w:rFonts w:cs="Times New Roman"/>
          <w:b/>
          <w:bCs/>
          <w:i/>
          <w:iCs/>
          <w:sz w:val="18"/>
          <w:szCs w:val="18"/>
          <w:u w:val="single"/>
        </w:rPr>
        <w:t xml:space="preserve"> of the Arabic section, pages</w:t>
      </w:r>
      <w:r w:rsidR="00DA079A">
        <w:rPr>
          <w:rFonts w:cs="Times New Roman" w:hint="cs"/>
          <w:b/>
          <w:bCs/>
          <w:i/>
          <w:iCs/>
          <w:sz w:val="18"/>
          <w:szCs w:val="18"/>
          <w:u w:val="single"/>
          <w:rtl/>
        </w:rPr>
        <w:t xml:space="preserve">    </w:t>
      </w:r>
      <w:r w:rsidRPr="00332048">
        <w:rPr>
          <w:rFonts w:cs="Times New Roman"/>
          <w:b/>
          <w:bCs/>
          <w:i/>
          <w:iCs/>
          <w:sz w:val="18"/>
          <w:szCs w:val="18"/>
          <w:u w:val="single"/>
          <w:rtl/>
        </w:rPr>
        <w:t xml:space="preserve"> </w:t>
      </w:r>
      <w:r w:rsidR="00084AEE" w:rsidRPr="00332048">
        <w:rPr>
          <w:rFonts w:cs="Times New Roman"/>
          <w:b/>
          <w:bCs/>
          <w:i/>
          <w:iCs/>
          <w:sz w:val="18"/>
          <w:szCs w:val="18"/>
          <w:u w:val="single"/>
        </w:rPr>
        <w:t>8</w:t>
      </w:r>
      <w:r w:rsidRPr="00332048">
        <w:rPr>
          <w:rFonts w:cs="Times New Roman"/>
          <w:b/>
          <w:bCs/>
          <w:i/>
          <w:iCs/>
          <w:sz w:val="18"/>
          <w:szCs w:val="18"/>
          <w:u w:val="single"/>
        </w:rPr>
        <w:t>1-</w:t>
      </w:r>
      <w:r w:rsidR="00084AEE" w:rsidRPr="00332048">
        <w:rPr>
          <w:rFonts w:cs="Times New Roman"/>
          <w:b/>
          <w:bCs/>
          <w:i/>
          <w:iCs/>
          <w:sz w:val="18"/>
          <w:szCs w:val="18"/>
          <w:u w:val="single"/>
        </w:rPr>
        <w:t>9</w:t>
      </w:r>
      <w:r w:rsidRPr="00332048">
        <w:rPr>
          <w:rFonts w:cs="Times New Roman"/>
          <w:b/>
          <w:bCs/>
          <w:i/>
          <w:iCs/>
          <w:sz w:val="18"/>
          <w:szCs w:val="18"/>
          <w:u w:val="single"/>
        </w:rPr>
        <w:t>4.</w:t>
      </w:r>
    </w:p>
    <w:p w:rsidR="00B617D2" w:rsidRDefault="00B617D2" w:rsidP="00B617D2">
      <w:pPr>
        <w:pStyle w:val="BodyText"/>
        <w:overflowPunct/>
        <w:autoSpaceDE/>
        <w:autoSpaceDN/>
        <w:adjustRightInd/>
        <w:ind w:left="142"/>
        <w:jc w:val="center"/>
        <w:textAlignment w:val="auto"/>
        <w:rPr>
          <w:rFonts w:cs="Times New Roman"/>
        </w:rPr>
      </w:pPr>
    </w:p>
    <w:p w:rsidR="00084AEE" w:rsidRPr="00632B94" w:rsidRDefault="00084AEE" w:rsidP="00B617D2">
      <w:pPr>
        <w:pStyle w:val="BodyText"/>
        <w:overflowPunct/>
        <w:autoSpaceDE/>
        <w:autoSpaceDN/>
        <w:adjustRightInd/>
        <w:ind w:left="142"/>
        <w:jc w:val="center"/>
        <w:textAlignment w:val="auto"/>
        <w:rPr>
          <w:rFonts w:cs="Times New Roman"/>
        </w:rPr>
      </w:pPr>
    </w:p>
    <w:p w:rsidR="00D27191" w:rsidRDefault="00D27191" w:rsidP="006941CB">
      <w:pPr>
        <w:pStyle w:val="BodyText"/>
        <w:overflowPunct/>
        <w:autoSpaceDE/>
        <w:autoSpaceDN/>
        <w:adjustRightInd/>
        <w:ind w:left="142"/>
        <w:jc w:val="center"/>
        <w:textAlignment w:val="auto"/>
        <w:rPr>
          <w:rFonts w:cs="Times New Roman"/>
        </w:rPr>
      </w:pPr>
    </w:p>
    <w:p w:rsidR="00D27191" w:rsidRPr="00632B94" w:rsidRDefault="00D27191" w:rsidP="00332048">
      <w:pPr>
        <w:pStyle w:val="Title"/>
        <w:numPr>
          <w:ilvl w:val="0"/>
          <w:numId w:val="19"/>
        </w:numPr>
        <w:bidi w:val="0"/>
        <w:ind w:left="252" w:hanging="252"/>
        <w:jc w:val="left"/>
        <w:rPr>
          <w:rFonts w:cs="Traditional Arabic"/>
          <w:sz w:val="20"/>
          <w:szCs w:val="20"/>
        </w:rPr>
      </w:pPr>
      <w:r w:rsidRPr="00632B94">
        <w:rPr>
          <w:rFonts w:cs="Traditional Arabic"/>
          <w:sz w:val="20"/>
          <w:szCs w:val="20"/>
        </w:rPr>
        <w:t>Living Standards</w:t>
      </w:r>
    </w:p>
    <w:p w:rsidR="000B464B" w:rsidRPr="00632B94" w:rsidRDefault="000B464B" w:rsidP="00332048">
      <w:pPr>
        <w:pStyle w:val="BodyText2"/>
        <w:numPr>
          <w:ilvl w:val="0"/>
          <w:numId w:val="2"/>
        </w:numPr>
        <w:overflowPunct/>
        <w:autoSpaceDE/>
        <w:autoSpaceDN/>
        <w:adjustRightInd/>
        <w:spacing w:after="120"/>
        <w:ind w:left="266" w:hanging="266"/>
        <w:textAlignment w:val="auto"/>
        <w:rPr>
          <w:noProof/>
        </w:rPr>
      </w:pPr>
      <w:r w:rsidRPr="00632B94">
        <w:rPr>
          <w:noProof/>
        </w:rPr>
        <w:t>The consumption data indicated that the total Percentage of poverty among Palestinian individuals in Palestine was 29.2% in 201</w:t>
      </w:r>
      <w:r w:rsidRPr="00632B94">
        <w:rPr>
          <w:rFonts w:hint="cs"/>
          <w:noProof/>
          <w:rtl/>
        </w:rPr>
        <w:t>7</w:t>
      </w:r>
      <w:r w:rsidRPr="00632B94">
        <w:rPr>
          <w:noProof/>
        </w:rPr>
        <w:t xml:space="preserve">: </w:t>
      </w:r>
      <w:r w:rsidRPr="00632B94">
        <w:rPr>
          <w:rFonts w:hint="cs"/>
          <w:noProof/>
          <w:rtl/>
        </w:rPr>
        <w:t>13.9</w:t>
      </w:r>
      <w:r w:rsidRPr="00632B94">
        <w:rPr>
          <w:noProof/>
        </w:rPr>
        <w:t xml:space="preserve">% in the West Bank and </w:t>
      </w:r>
      <w:r w:rsidRPr="00632B94">
        <w:rPr>
          <w:rFonts w:hint="cs"/>
          <w:noProof/>
          <w:rtl/>
        </w:rPr>
        <w:t>53.0</w:t>
      </w:r>
      <w:r w:rsidRPr="00632B94">
        <w:rPr>
          <w:noProof/>
        </w:rPr>
        <w:t>% in Gaza Strip.</w:t>
      </w:r>
    </w:p>
    <w:p w:rsidR="000B464B" w:rsidRPr="00632B94" w:rsidRDefault="000B464B"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consumption data indicated that </w:t>
      </w:r>
      <w:r w:rsidRPr="00632B94">
        <w:rPr>
          <w:rFonts w:hint="cs"/>
          <w:noProof/>
          <w:rtl/>
        </w:rPr>
        <w:t>16.8</w:t>
      </w:r>
      <w:r w:rsidRPr="00632B94">
        <w:rPr>
          <w:noProof/>
        </w:rPr>
        <w:t>% of individuals in Palestine suffered from deep poverty in 201</w:t>
      </w:r>
      <w:r w:rsidRPr="00632B94">
        <w:rPr>
          <w:rFonts w:hint="cs"/>
          <w:noProof/>
          <w:rtl/>
        </w:rPr>
        <w:t>7</w:t>
      </w:r>
      <w:r w:rsidRPr="00632B94">
        <w:rPr>
          <w:noProof/>
        </w:rPr>
        <w:t xml:space="preserve">: </w:t>
      </w:r>
      <w:r w:rsidRPr="00632B94">
        <w:rPr>
          <w:rFonts w:hint="cs"/>
          <w:noProof/>
          <w:rtl/>
        </w:rPr>
        <w:t>5.8</w:t>
      </w:r>
      <w:r w:rsidRPr="00632B94">
        <w:rPr>
          <w:noProof/>
        </w:rPr>
        <w:t xml:space="preserve">% in the West Bank and </w:t>
      </w:r>
      <w:r w:rsidRPr="00632B94">
        <w:rPr>
          <w:rFonts w:hint="cs"/>
          <w:noProof/>
          <w:rtl/>
        </w:rPr>
        <w:t>33.8</w:t>
      </w:r>
      <w:r w:rsidRPr="00632B94">
        <w:rPr>
          <w:noProof/>
        </w:rPr>
        <w:t>% in Gaza Strip.</w:t>
      </w:r>
    </w:p>
    <w:p w:rsidR="000B464B" w:rsidRPr="00632B94" w:rsidRDefault="000B464B" w:rsidP="00332048">
      <w:pPr>
        <w:pStyle w:val="BodyText2"/>
        <w:numPr>
          <w:ilvl w:val="0"/>
          <w:numId w:val="2"/>
        </w:numPr>
        <w:overflowPunct/>
        <w:autoSpaceDE/>
        <w:autoSpaceDN/>
        <w:adjustRightInd/>
        <w:spacing w:after="120"/>
        <w:ind w:left="266" w:hanging="266"/>
        <w:textAlignment w:val="auto"/>
        <w:rPr>
          <w:noProof/>
        </w:rPr>
      </w:pPr>
      <w:r w:rsidRPr="00632B94">
        <w:rPr>
          <w:noProof/>
        </w:rPr>
        <w:t>Average Monthly Expenditure Per Capita in 201</w:t>
      </w:r>
      <w:r w:rsidRPr="00632B94">
        <w:rPr>
          <w:rFonts w:hint="cs"/>
          <w:noProof/>
          <w:rtl/>
        </w:rPr>
        <w:t>7</w:t>
      </w:r>
      <w:r w:rsidRPr="00632B94">
        <w:rPr>
          <w:noProof/>
        </w:rPr>
        <w:t xml:space="preserve">: Data revealed that monthly expenditure per capita was 169.5 JD: 220.1 JD in the West Bank and 91.2 JD in Gaza Strip.  Monthly expenditure on food groups per capita was 51.7 JD: 64.1 JD in the West Bank and 32.6 JD in Gaza Strip, while average monthly expenditure on non-food groups per capita was 93.1 JD: 124.1 JD in the West Bank and 45.1 JD in Gaza Strip.  </w:t>
      </w:r>
    </w:p>
    <w:p w:rsidR="000B464B" w:rsidRPr="00632B94" w:rsidRDefault="000B464B" w:rsidP="00332048">
      <w:pPr>
        <w:pStyle w:val="BodyText2"/>
        <w:numPr>
          <w:ilvl w:val="0"/>
          <w:numId w:val="2"/>
        </w:numPr>
        <w:overflowPunct/>
        <w:autoSpaceDE/>
        <w:autoSpaceDN/>
        <w:adjustRightInd/>
        <w:spacing w:after="120"/>
        <w:ind w:left="266" w:hanging="266"/>
        <w:textAlignment w:val="auto"/>
        <w:rPr>
          <w:noProof/>
        </w:rPr>
      </w:pPr>
      <w:r w:rsidRPr="00632B94">
        <w:rPr>
          <w:noProof/>
        </w:rPr>
        <w:t>Average Monthly Consumption Per Capita in 2017: Average monthly consumption per capita in Palestine was 171.7 JD: 221.2 JD in the West Bank and 95.0 JD in Gaza Strip.  Monthly consumption of food per capita was 52.7 JD: 65.4 JD in the West Bank and 33.0 JD in Gaza Strip</w:t>
      </w:r>
      <w:r w:rsidR="00755CA1">
        <w:rPr>
          <w:noProof/>
        </w:rPr>
        <w:t>,</w:t>
      </w:r>
      <w:r w:rsidR="00755CA1" w:rsidRPr="00632B94">
        <w:rPr>
          <w:noProof/>
        </w:rPr>
        <w:t xml:space="preserve">  </w:t>
      </w:r>
      <w:r w:rsidRPr="00632B94">
        <w:rPr>
          <w:noProof/>
        </w:rPr>
        <w:t>while average monthly consumption of non-food groups per capita was 119.0 JD: 155.9 JD in the West Bank and 61.9 JD in Gaza Strip.</w:t>
      </w:r>
    </w:p>
    <w:p w:rsidR="00E619C1" w:rsidRDefault="00E619C1">
      <w:pPr>
        <w:overflowPunct/>
        <w:autoSpaceDE/>
        <w:autoSpaceDN/>
        <w:adjustRightInd/>
        <w:textAlignment w:val="auto"/>
        <w:rPr>
          <w:rFonts w:ascii="Arial" w:hAnsi="Arial" w:cs="Arial"/>
          <w:b/>
          <w:bCs/>
          <w:sz w:val="18"/>
          <w:szCs w:val="18"/>
        </w:rPr>
      </w:pPr>
    </w:p>
    <w:p w:rsidR="00381FD6" w:rsidRPr="00632B94" w:rsidRDefault="00381FD6" w:rsidP="00755CA1">
      <w:pPr>
        <w:jc w:val="center"/>
        <w:rPr>
          <w:rFonts w:ascii="Arial" w:hAnsi="Arial" w:cs="Arial"/>
          <w:b/>
          <w:bCs/>
          <w:sz w:val="18"/>
          <w:szCs w:val="18"/>
        </w:rPr>
      </w:pPr>
      <w:r w:rsidRPr="00632B94">
        <w:rPr>
          <w:rFonts w:ascii="Arial" w:hAnsi="Arial" w:cs="Arial"/>
          <w:b/>
          <w:bCs/>
          <w:sz w:val="18"/>
          <w:szCs w:val="18"/>
        </w:rPr>
        <w:t xml:space="preserve">Poverty Percentages </w:t>
      </w:r>
      <w:r w:rsidR="00755CA1">
        <w:rPr>
          <w:rFonts w:ascii="Arial" w:hAnsi="Arial" w:cs="Arial"/>
          <w:b/>
          <w:bCs/>
          <w:sz w:val="18"/>
          <w:szCs w:val="18"/>
        </w:rPr>
        <w:t>a</w:t>
      </w:r>
      <w:r w:rsidR="00755CA1" w:rsidRPr="00632B94">
        <w:rPr>
          <w:rFonts w:ascii="Arial" w:hAnsi="Arial" w:cs="Arial"/>
          <w:b/>
          <w:bCs/>
          <w:sz w:val="18"/>
          <w:szCs w:val="18"/>
        </w:rPr>
        <w:t xml:space="preserve">mong </w:t>
      </w:r>
      <w:r w:rsidRPr="00632B94">
        <w:rPr>
          <w:rFonts w:ascii="Arial" w:hAnsi="Arial" w:cs="Arial"/>
          <w:b/>
          <w:bCs/>
          <w:sz w:val="18"/>
          <w:szCs w:val="18"/>
        </w:rPr>
        <w:t xml:space="preserve">Individuals in Palestine </w:t>
      </w:r>
      <w:r w:rsidR="00755CA1">
        <w:rPr>
          <w:rFonts w:ascii="Arial" w:hAnsi="Arial" w:cs="Arial"/>
          <w:b/>
          <w:bCs/>
          <w:sz w:val="18"/>
          <w:szCs w:val="18"/>
        </w:rPr>
        <w:t>a</w:t>
      </w:r>
      <w:r w:rsidR="00755CA1" w:rsidRPr="00632B94">
        <w:rPr>
          <w:rFonts w:ascii="Arial" w:hAnsi="Arial" w:cs="Arial"/>
          <w:b/>
          <w:bCs/>
          <w:sz w:val="18"/>
          <w:szCs w:val="18"/>
        </w:rPr>
        <w:t xml:space="preserve">ccording </w:t>
      </w:r>
      <w:r w:rsidRPr="00632B94">
        <w:rPr>
          <w:rFonts w:ascii="Arial" w:hAnsi="Arial" w:cs="Arial"/>
          <w:b/>
          <w:bCs/>
          <w:sz w:val="18"/>
          <w:szCs w:val="18"/>
        </w:rPr>
        <w:t>to Monthly Consumption Patterns by Region, 2011, 2017</w:t>
      </w:r>
    </w:p>
    <w:p w:rsidR="00381FD6" w:rsidRPr="00632B94" w:rsidRDefault="00381FD6" w:rsidP="00381FD6">
      <w:pPr>
        <w:jc w:val="center"/>
        <w:rPr>
          <w:rFonts w:ascii="Arial" w:hAnsi="Arial" w:cs="Arial"/>
          <w:b/>
          <w:bCs/>
          <w:sz w:val="10"/>
          <w:szCs w:val="10"/>
        </w:rPr>
      </w:pPr>
    </w:p>
    <w:p w:rsidR="00381FD6" w:rsidRPr="00632B94" w:rsidRDefault="00381FD6" w:rsidP="00381FD6">
      <w:pPr>
        <w:jc w:val="center"/>
        <w:rPr>
          <w:rtl/>
        </w:rPr>
      </w:pPr>
      <w:r w:rsidRPr="00632B94">
        <w:rPr>
          <w:noProof/>
          <w:bdr w:val="single" w:sz="4" w:space="0" w:color="auto"/>
        </w:rPr>
        <w:drawing>
          <wp:inline distT="0" distB="0" distL="0" distR="0">
            <wp:extent cx="4483100" cy="1174750"/>
            <wp:effectExtent l="0" t="0" r="0" b="0"/>
            <wp:docPr id="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81FD6" w:rsidRDefault="00381FD6" w:rsidP="00381FD6">
      <w:pPr>
        <w:pStyle w:val="Title"/>
        <w:bidi w:val="0"/>
        <w:ind w:left="-210"/>
        <w:jc w:val="left"/>
        <w:rPr>
          <w:rFonts w:cs="Traditional Arabic"/>
          <w:sz w:val="20"/>
          <w:szCs w:val="20"/>
        </w:rPr>
      </w:pPr>
    </w:p>
    <w:p w:rsidR="00084AEE" w:rsidRPr="00332048" w:rsidRDefault="00084AEE" w:rsidP="00FA6A6A">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 xml:space="preserve">For more details </w:t>
      </w:r>
      <w:r w:rsidR="00FA6A6A" w:rsidRPr="00E126B8">
        <w:rPr>
          <w:rFonts w:cs="Times New Roman"/>
          <w:b/>
          <w:bCs/>
          <w:i/>
          <w:iCs/>
          <w:sz w:val="18"/>
          <w:szCs w:val="18"/>
          <w:u w:val="single"/>
        </w:rPr>
        <w:t xml:space="preserve">on </w:t>
      </w:r>
      <w:r w:rsidR="00B51C6A">
        <w:rPr>
          <w:rFonts w:cs="Times New Roman"/>
          <w:b/>
          <w:bCs/>
          <w:i/>
          <w:iCs/>
          <w:sz w:val="18"/>
          <w:szCs w:val="18"/>
          <w:u w:val="single"/>
        </w:rPr>
        <w:t>l</w:t>
      </w:r>
      <w:r w:rsidRPr="00332048">
        <w:rPr>
          <w:rFonts w:cs="Times New Roman"/>
          <w:b/>
          <w:bCs/>
          <w:i/>
          <w:iCs/>
          <w:sz w:val="18"/>
          <w:szCs w:val="18"/>
          <w:u w:val="single"/>
        </w:rPr>
        <w:t xml:space="preserve">iving </w:t>
      </w:r>
      <w:r w:rsidR="00B51C6A">
        <w:rPr>
          <w:rFonts w:cs="Times New Roman"/>
          <w:b/>
          <w:bCs/>
          <w:i/>
          <w:iCs/>
          <w:sz w:val="18"/>
          <w:szCs w:val="18"/>
          <w:u w:val="single"/>
        </w:rPr>
        <w:t>s</w:t>
      </w:r>
      <w:r w:rsidRPr="00332048">
        <w:rPr>
          <w:rFonts w:cs="Times New Roman"/>
          <w:b/>
          <w:bCs/>
          <w:i/>
          <w:iCs/>
          <w:sz w:val="18"/>
          <w:szCs w:val="18"/>
          <w:u w:val="single"/>
        </w:rPr>
        <w:t>tandards, see the tables in chapter 1.7 of the Arabic section, pages 95-100.</w:t>
      </w:r>
    </w:p>
    <w:p w:rsidR="00084AEE" w:rsidRPr="00632B94" w:rsidRDefault="00084AEE" w:rsidP="00084AEE">
      <w:pPr>
        <w:pStyle w:val="Title"/>
        <w:bidi w:val="0"/>
        <w:ind w:left="-210"/>
        <w:jc w:val="left"/>
        <w:rPr>
          <w:rFonts w:cs="Traditional Arabic"/>
          <w:sz w:val="20"/>
          <w:szCs w:val="20"/>
        </w:rPr>
      </w:pPr>
    </w:p>
    <w:p w:rsidR="00D27191" w:rsidRPr="00632B94" w:rsidRDefault="00D27191" w:rsidP="00332048">
      <w:pPr>
        <w:pStyle w:val="Title"/>
        <w:numPr>
          <w:ilvl w:val="0"/>
          <w:numId w:val="19"/>
        </w:numPr>
        <w:bidi w:val="0"/>
        <w:ind w:left="252" w:hanging="252"/>
        <w:jc w:val="left"/>
        <w:rPr>
          <w:rFonts w:cs="Traditional Arabic"/>
          <w:sz w:val="20"/>
          <w:szCs w:val="20"/>
        </w:rPr>
      </w:pPr>
      <w:r w:rsidRPr="00632B94">
        <w:rPr>
          <w:rFonts w:cs="Traditional Arabic"/>
          <w:sz w:val="20"/>
          <w:szCs w:val="20"/>
        </w:rPr>
        <w:t xml:space="preserve">Education </w:t>
      </w:r>
    </w:p>
    <w:p w:rsidR="00AA02CE" w:rsidRPr="00632B94" w:rsidRDefault="00AA02CE" w:rsidP="00332048">
      <w:pPr>
        <w:pStyle w:val="BodyText2"/>
        <w:numPr>
          <w:ilvl w:val="0"/>
          <w:numId w:val="2"/>
        </w:numPr>
        <w:overflowPunct/>
        <w:autoSpaceDE/>
        <w:autoSpaceDN/>
        <w:adjustRightInd/>
        <w:spacing w:after="120"/>
        <w:ind w:left="266" w:hanging="266"/>
        <w:textAlignment w:val="auto"/>
        <w:rPr>
          <w:noProof/>
        </w:rPr>
      </w:pPr>
      <w:r w:rsidRPr="00632B94">
        <w:rPr>
          <w:noProof/>
        </w:rPr>
        <w:t>The total number of schools in Palestine in 2017/2018 was 2,9</w:t>
      </w:r>
      <w:r w:rsidRPr="00632B94">
        <w:rPr>
          <w:rFonts w:hint="cs"/>
          <w:noProof/>
          <w:rtl/>
        </w:rPr>
        <w:t>98</w:t>
      </w:r>
      <w:r w:rsidRPr="00632B94">
        <w:rPr>
          <w:noProof/>
        </w:rPr>
        <w:t xml:space="preserve"> comprising 2,2</w:t>
      </w:r>
      <w:r w:rsidRPr="00632B94">
        <w:rPr>
          <w:rFonts w:hint="cs"/>
          <w:noProof/>
          <w:rtl/>
        </w:rPr>
        <w:t>6</w:t>
      </w:r>
      <w:r w:rsidRPr="00632B94">
        <w:rPr>
          <w:noProof/>
        </w:rPr>
        <w:t>9 in the West Bank and 7</w:t>
      </w:r>
      <w:r w:rsidRPr="00632B94">
        <w:rPr>
          <w:rFonts w:hint="cs"/>
          <w:noProof/>
          <w:rtl/>
        </w:rPr>
        <w:t>29</w:t>
      </w:r>
      <w:r w:rsidRPr="00632B94">
        <w:rPr>
          <w:noProof/>
        </w:rPr>
        <w:t xml:space="preserve"> in Gaza Strip. </w:t>
      </w:r>
    </w:p>
    <w:p w:rsidR="00AA02CE" w:rsidRPr="00632B94" w:rsidRDefault="00AA02CE" w:rsidP="00332048">
      <w:pPr>
        <w:pStyle w:val="BodyText2"/>
        <w:numPr>
          <w:ilvl w:val="0"/>
          <w:numId w:val="2"/>
        </w:numPr>
        <w:overflowPunct/>
        <w:autoSpaceDE/>
        <w:autoSpaceDN/>
        <w:adjustRightInd/>
        <w:spacing w:after="120"/>
        <w:ind w:left="266" w:hanging="266"/>
        <w:textAlignment w:val="auto"/>
        <w:rPr>
          <w:noProof/>
        </w:rPr>
      </w:pPr>
      <w:r w:rsidRPr="00632B94">
        <w:rPr>
          <w:noProof/>
        </w:rPr>
        <w:t>The  total  number of students was 1,</w:t>
      </w:r>
      <w:r w:rsidRPr="00632B94">
        <w:rPr>
          <w:rFonts w:hint="cs"/>
          <w:noProof/>
          <w:rtl/>
        </w:rPr>
        <w:t>253</w:t>
      </w:r>
      <w:r w:rsidRPr="00632B94">
        <w:rPr>
          <w:noProof/>
        </w:rPr>
        <w:t>,</w:t>
      </w:r>
      <w:r w:rsidR="00026CE1" w:rsidRPr="00632B94">
        <w:rPr>
          <w:noProof/>
        </w:rPr>
        <w:t>238</w:t>
      </w:r>
      <w:r w:rsidRPr="00632B94">
        <w:rPr>
          <w:noProof/>
        </w:rPr>
        <w:t>: 1,0</w:t>
      </w:r>
      <w:r w:rsidRPr="00632B94">
        <w:rPr>
          <w:rFonts w:hint="cs"/>
          <w:noProof/>
          <w:rtl/>
        </w:rPr>
        <w:t>2</w:t>
      </w:r>
      <w:r w:rsidRPr="00632B94">
        <w:rPr>
          <w:noProof/>
        </w:rPr>
        <w:t>2,</w:t>
      </w:r>
      <w:r w:rsidR="00026CE1" w:rsidRPr="00632B94">
        <w:rPr>
          <w:noProof/>
        </w:rPr>
        <w:t>083</w:t>
      </w:r>
      <w:r w:rsidRPr="00632B94">
        <w:rPr>
          <w:noProof/>
        </w:rPr>
        <w:t xml:space="preserve"> at basic stage and </w:t>
      </w:r>
      <w:r w:rsidRPr="00632B94">
        <w:rPr>
          <w:rFonts w:hint="cs"/>
          <w:noProof/>
          <w:rtl/>
        </w:rPr>
        <w:t>231</w:t>
      </w:r>
      <w:r w:rsidRPr="00632B94">
        <w:rPr>
          <w:noProof/>
        </w:rPr>
        <w:t>,</w:t>
      </w:r>
      <w:r w:rsidRPr="00632B94">
        <w:rPr>
          <w:rFonts w:hint="cs"/>
          <w:noProof/>
          <w:rtl/>
        </w:rPr>
        <w:t>155</w:t>
      </w:r>
      <w:r w:rsidRPr="00632B94">
        <w:rPr>
          <w:noProof/>
        </w:rPr>
        <w:t xml:space="preserve"> at secondary stage.</w:t>
      </w:r>
    </w:p>
    <w:p w:rsidR="00AA02CE" w:rsidRPr="00632B94" w:rsidRDefault="00AA02CE" w:rsidP="000A426B">
      <w:pPr>
        <w:pStyle w:val="BodyText2"/>
        <w:numPr>
          <w:ilvl w:val="0"/>
          <w:numId w:val="2"/>
        </w:numPr>
        <w:overflowPunct/>
        <w:autoSpaceDE/>
        <w:autoSpaceDN/>
        <w:adjustRightInd/>
        <w:spacing w:after="120"/>
        <w:ind w:left="266" w:hanging="266"/>
        <w:textAlignment w:val="auto"/>
        <w:rPr>
          <w:noProof/>
        </w:rPr>
      </w:pPr>
      <w:r w:rsidRPr="00632B94">
        <w:rPr>
          <w:noProof/>
        </w:rPr>
        <w:t>The average number of students per class in basic stage by supervisory authority was 29.</w:t>
      </w:r>
      <w:r w:rsidR="000A426B">
        <w:rPr>
          <w:noProof/>
        </w:rPr>
        <w:t>8</w:t>
      </w:r>
      <w:r w:rsidRPr="00632B94">
        <w:rPr>
          <w:noProof/>
        </w:rPr>
        <w:t xml:space="preserve"> in governmental schools, 38.8 in UNRWA schools, and 23.0 in private schools. The average number of students per class in secondary stage was 28.7 in governmental schools, 34.8 in UNRWA schools and 19.9 in private schools.</w:t>
      </w:r>
    </w:p>
    <w:p w:rsidR="00D27191" w:rsidRPr="00632B94" w:rsidRDefault="00C948FF" w:rsidP="00071895">
      <w:pPr>
        <w:pStyle w:val="BodyText"/>
        <w:overflowPunct/>
        <w:autoSpaceDE/>
        <w:autoSpaceDN/>
        <w:adjustRightInd/>
        <w:jc w:val="center"/>
        <w:textAlignment w:val="auto"/>
        <w:rPr>
          <w:rtl/>
        </w:rPr>
      </w:pPr>
      <w:r w:rsidRPr="00632B94">
        <w:rPr>
          <w:noProof/>
          <w:bdr w:val="single" w:sz="4" w:space="0" w:color="auto"/>
        </w:rPr>
        <w:drawing>
          <wp:inline distT="0" distB="0" distL="0" distR="0">
            <wp:extent cx="3420000" cy="3960956"/>
            <wp:effectExtent l="19050" t="0" r="9000" b="0"/>
            <wp:docPr id="13" name="Picture 4" descr="G:\بعد ادخال المواد عليه كتاب فلسطين الاحصائي 2017\الخرائط  الاحصائية 2017\الخرائط 2017\illiterate_rate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بعد ادخال المواد عليه كتاب فلسطين الاحصائي 2017\الخرائط  الاحصائية 2017\الخرائط 2017\illiterate_rate_En.png"/>
                    <pic:cNvPicPr>
                      <a:picLocks noChangeAspect="1" noChangeArrowheads="1"/>
                    </pic:cNvPicPr>
                  </pic:nvPicPr>
                  <pic:blipFill>
                    <a:blip r:embed="rId15"/>
                    <a:srcRect l="9604" t="13081" r="10422" b="17530"/>
                    <a:stretch>
                      <a:fillRect/>
                    </a:stretch>
                  </pic:blipFill>
                  <pic:spPr bwMode="auto">
                    <a:xfrm>
                      <a:off x="0" y="0"/>
                      <a:ext cx="3420000" cy="3960956"/>
                    </a:xfrm>
                    <a:prstGeom prst="rect">
                      <a:avLst/>
                    </a:prstGeom>
                    <a:noFill/>
                    <a:ln w="9525">
                      <a:noFill/>
                      <a:miter lim="800000"/>
                      <a:headEnd/>
                      <a:tailEnd/>
                    </a:ln>
                  </pic:spPr>
                </pic:pic>
              </a:graphicData>
            </a:graphic>
          </wp:inline>
        </w:drawing>
      </w:r>
    </w:p>
    <w:p w:rsidR="00084AEE" w:rsidRDefault="00084AEE" w:rsidP="00084AEE">
      <w:pPr>
        <w:pStyle w:val="ListParagraph"/>
        <w:bidi w:val="0"/>
        <w:ind w:left="0"/>
        <w:jc w:val="lowKashida"/>
        <w:rPr>
          <w:rFonts w:cs="Times New Roman"/>
          <w:i/>
          <w:iCs/>
          <w:sz w:val="20"/>
          <w:u w:val="single"/>
        </w:rPr>
      </w:pPr>
    </w:p>
    <w:p w:rsidR="00084AEE" w:rsidRPr="00332048" w:rsidRDefault="00726D2F" w:rsidP="00FA6A6A">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w:t>
      </w:r>
      <w:r w:rsidR="00084AEE" w:rsidRPr="00332048">
        <w:rPr>
          <w:rFonts w:cs="Times New Roman"/>
          <w:b/>
          <w:bCs/>
          <w:i/>
          <w:iCs/>
          <w:sz w:val="18"/>
          <w:szCs w:val="18"/>
          <w:u w:val="single"/>
        </w:rPr>
        <w:t xml:space="preserve"> details </w:t>
      </w:r>
      <w:r w:rsidR="00FA6A6A" w:rsidRPr="00E126B8">
        <w:rPr>
          <w:rFonts w:cs="Times New Roman"/>
          <w:b/>
          <w:bCs/>
          <w:i/>
          <w:iCs/>
          <w:sz w:val="18"/>
          <w:szCs w:val="18"/>
          <w:u w:val="single"/>
        </w:rPr>
        <w:t xml:space="preserve">on </w:t>
      </w:r>
      <w:r w:rsidR="00084AEE" w:rsidRPr="00332048">
        <w:rPr>
          <w:rFonts w:cs="Times New Roman"/>
          <w:b/>
          <w:bCs/>
          <w:i/>
          <w:iCs/>
          <w:sz w:val="18"/>
          <w:szCs w:val="18"/>
          <w:u w:val="single"/>
        </w:rPr>
        <w:t>education, see the tables in chapter 1.</w:t>
      </w:r>
      <w:r w:rsidR="00C0209D" w:rsidRPr="00332048">
        <w:rPr>
          <w:rFonts w:cs="Times New Roman"/>
          <w:b/>
          <w:bCs/>
          <w:i/>
          <w:iCs/>
          <w:sz w:val="18"/>
          <w:szCs w:val="18"/>
          <w:u w:val="single"/>
        </w:rPr>
        <w:t>8</w:t>
      </w:r>
      <w:r w:rsidR="00084AEE" w:rsidRPr="00332048">
        <w:rPr>
          <w:rFonts w:cs="Times New Roman"/>
          <w:b/>
          <w:bCs/>
          <w:i/>
          <w:iCs/>
          <w:sz w:val="18"/>
          <w:szCs w:val="18"/>
          <w:u w:val="single"/>
        </w:rPr>
        <w:t xml:space="preserve"> of the Arabic section, pages </w:t>
      </w:r>
      <w:r w:rsidR="00C0209D" w:rsidRPr="00332048">
        <w:rPr>
          <w:rFonts w:cs="Times New Roman"/>
          <w:b/>
          <w:bCs/>
          <w:i/>
          <w:iCs/>
          <w:sz w:val="18"/>
          <w:szCs w:val="18"/>
          <w:u w:val="single"/>
        </w:rPr>
        <w:t>101</w:t>
      </w:r>
      <w:r w:rsidR="00084AEE" w:rsidRPr="00332048">
        <w:rPr>
          <w:rFonts w:cs="Times New Roman"/>
          <w:b/>
          <w:bCs/>
          <w:i/>
          <w:iCs/>
          <w:sz w:val="18"/>
          <w:szCs w:val="18"/>
          <w:u w:val="single"/>
        </w:rPr>
        <w:t>-1</w:t>
      </w:r>
      <w:r w:rsidR="00C0209D" w:rsidRPr="00332048">
        <w:rPr>
          <w:rFonts w:cs="Times New Roman"/>
          <w:b/>
          <w:bCs/>
          <w:i/>
          <w:iCs/>
          <w:sz w:val="18"/>
          <w:szCs w:val="18"/>
          <w:u w:val="single"/>
        </w:rPr>
        <w:t>16</w:t>
      </w:r>
      <w:r w:rsidR="00084AEE" w:rsidRPr="00332048">
        <w:rPr>
          <w:rFonts w:cs="Times New Roman"/>
          <w:b/>
          <w:bCs/>
          <w:i/>
          <w:iCs/>
          <w:sz w:val="18"/>
          <w:szCs w:val="18"/>
          <w:u w:val="single"/>
        </w:rPr>
        <w:t>.</w:t>
      </w:r>
    </w:p>
    <w:p w:rsidR="00084AEE" w:rsidRDefault="00084AEE" w:rsidP="00084AEE">
      <w:pPr>
        <w:pStyle w:val="Title"/>
        <w:bidi w:val="0"/>
        <w:ind w:left="98"/>
        <w:jc w:val="left"/>
        <w:rPr>
          <w:rFonts w:cs="Traditional Arabic"/>
          <w:sz w:val="20"/>
          <w:szCs w:val="20"/>
        </w:rPr>
      </w:pPr>
    </w:p>
    <w:p w:rsidR="00D27191" w:rsidRPr="00632B94" w:rsidRDefault="00D27191" w:rsidP="00332048">
      <w:pPr>
        <w:pStyle w:val="Title"/>
        <w:numPr>
          <w:ilvl w:val="0"/>
          <w:numId w:val="19"/>
        </w:numPr>
        <w:bidi w:val="0"/>
        <w:ind w:left="252" w:hanging="252"/>
        <w:jc w:val="left"/>
        <w:rPr>
          <w:rFonts w:cs="Traditional Arabic"/>
          <w:sz w:val="20"/>
          <w:szCs w:val="20"/>
        </w:rPr>
      </w:pPr>
      <w:r w:rsidRPr="00632B94">
        <w:rPr>
          <w:rFonts w:cs="Traditional Arabic"/>
          <w:sz w:val="20"/>
          <w:szCs w:val="20"/>
        </w:rPr>
        <w:t>Culture</w:t>
      </w:r>
      <w:r w:rsidRPr="00632B94">
        <w:rPr>
          <w:rFonts w:cs="Traditional Arabic"/>
          <w:sz w:val="20"/>
          <w:szCs w:val="20"/>
        </w:rPr>
        <w:tab/>
        <w:t xml:space="preserve">                              </w:t>
      </w:r>
    </w:p>
    <w:p w:rsidR="00AA02CE" w:rsidRPr="00632B94" w:rsidRDefault="00AA02CE" w:rsidP="00332048">
      <w:pPr>
        <w:pStyle w:val="BodyText2"/>
        <w:numPr>
          <w:ilvl w:val="0"/>
          <w:numId w:val="2"/>
        </w:numPr>
        <w:overflowPunct/>
        <w:autoSpaceDE/>
        <w:autoSpaceDN/>
        <w:adjustRightInd/>
        <w:spacing w:after="120"/>
        <w:ind w:left="266" w:hanging="266"/>
        <w:textAlignment w:val="auto"/>
        <w:rPr>
          <w:noProof/>
        </w:rPr>
      </w:pPr>
      <w:r w:rsidRPr="00632B94">
        <w:rPr>
          <w:noProof/>
        </w:rPr>
        <w:t>In 2017, there were 625 operating cultural centers in Palestine.</w:t>
      </w:r>
    </w:p>
    <w:p w:rsidR="00AA02CE" w:rsidRPr="00632B94" w:rsidRDefault="00AA02CE" w:rsidP="00332048">
      <w:pPr>
        <w:pStyle w:val="BodyText2"/>
        <w:numPr>
          <w:ilvl w:val="0"/>
          <w:numId w:val="2"/>
        </w:numPr>
        <w:overflowPunct/>
        <w:autoSpaceDE/>
        <w:autoSpaceDN/>
        <w:adjustRightInd/>
        <w:spacing w:after="120"/>
        <w:ind w:left="266" w:hanging="266"/>
        <w:textAlignment w:val="auto"/>
        <w:rPr>
          <w:noProof/>
        </w:rPr>
      </w:pPr>
      <w:r w:rsidRPr="00632B94">
        <w:rPr>
          <w:noProof/>
        </w:rPr>
        <w:t>In 2017, there were 32 museums operating in Palestine.</w:t>
      </w:r>
    </w:p>
    <w:p w:rsidR="00D27191" w:rsidRPr="00632B94" w:rsidRDefault="00D27191" w:rsidP="00D27191">
      <w:pPr>
        <w:jc w:val="center"/>
        <w:rPr>
          <w:rFonts w:ascii="Arial" w:hAnsi="Arial" w:cs="Arial"/>
          <w:b/>
          <w:bCs/>
          <w:sz w:val="6"/>
          <w:szCs w:val="6"/>
        </w:rPr>
      </w:pPr>
    </w:p>
    <w:p w:rsidR="00EA2859" w:rsidRPr="00632B94" w:rsidRDefault="00EA2859" w:rsidP="00EA2859">
      <w:pPr>
        <w:jc w:val="center"/>
        <w:rPr>
          <w:rFonts w:ascii="Arial" w:hAnsi="Arial" w:cs="Arial"/>
          <w:b/>
          <w:bCs/>
          <w:sz w:val="6"/>
          <w:szCs w:val="6"/>
        </w:rPr>
      </w:pPr>
    </w:p>
    <w:p w:rsidR="00EA2859" w:rsidRPr="00632B94" w:rsidRDefault="00EA2859" w:rsidP="00EA2859">
      <w:pPr>
        <w:jc w:val="center"/>
        <w:rPr>
          <w:rFonts w:ascii="Arial" w:hAnsi="Arial" w:cs="Arial"/>
          <w:b/>
          <w:bCs/>
          <w:sz w:val="18"/>
          <w:szCs w:val="18"/>
        </w:rPr>
      </w:pPr>
      <w:r w:rsidRPr="00632B94">
        <w:rPr>
          <w:rFonts w:ascii="Arial" w:hAnsi="Arial" w:cs="Arial"/>
          <w:b/>
          <w:bCs/>
          <w:sz w:val="18"/>
          <w:szCs w:val="18"/>
        </w:rPr>
        <w:t>Audience of Stage Shows in Palestine by Month, 2017</w:t>
      </w:r>
    </w:p>
    <w:p w:rsidR="00EA2859" w:rsidRPr="00632B94" w:rsidRDefault="00EA2859" w:rsidP="00EA2859">
      <w:pPr>
        <w:jc w:val="center"/>
        <w:rPr>
          <w:b/>
          <w:bCs/>
          <w:sz w:val="10"/>
          <w:szCs w:val="10"/>
        </w:rPr>
      </w:pPr>
    </w:p>
    <w:p w:rsidR="00EA2859" w:rsidRPr="00632B94" w:rsidRDefault="00EA2859" w:rsidP="00EA2859">
      <w:pPr>
        <w:jc w:val="center"/>
        <w:rPr>
          <w:rFonts w:ascii="Arial" w:hAnsi="Arial" w:cs="Arial"/>
          <w:b/>
          <w:bCs/>
          <w:sz w:val="18"/>
          <w:szCs w:val="18"/>
        </w:rPr>
      </w:pPr>
      <w:r w:rsidRPr="00632B94">
        <w:rPr>
          <w:rFonts w:ascii="Arial" w:hAnsi="Arial" w:cs="Arial"/>
          <w:b/>
          <w:bCs/>
          <w:noProof/>
          <w:sz w:val="18"/>
          <w:szCs w:val="18"/>
          <w:bdr w:val="single" w:sz="4" w:space="0" w:color="auto"/>
        </w:rPr>
        <w:drawing>
          <wp:inline distT="0" distB="0" distL="0" distR="0">
            <wp:extent cx="5054600" cy="1816100"/>
            <wp:effectExtent l="0" t="0" r="0" b="0"/>
            <wp:docPr id="1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84AEE" w:rsidRDefault="00084AEE" w:rsidP="00123CC8">
      <w:pPr>
        <w:pStyle w:val="ListParagraph"/>
        <w:bidi w:val="0"/>
        <w:ind w:left="0"/>
        <w:jc w:val="lowKashida"/>
        <w:rPr>
          <w:rFonts w:cs="Times New Roman"/>
          <w:i/>
          <w:iCs/>
          <w:sz w:val="20"/>
          <w:u w:val="single"/>
        </w:rPr>
      </w:pPr>
    </w:p>
    <w:p w:rsidR="00D27191" w:rsidRPr="00332048" w:rsidRDefault="00D27191" w:rsidP="00FA6A6A">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 xml:space="preserve">For more details </w:t>
      </w:r>
      <w:r w:rsidR="00FA6A6A" w:rsidRPr="00E126B8">
        <w:rPr>
          <w:rFonts w:cs="Times New Roman"/>
          <w:b/>
          <w:bCs/>
          <w:i/>
          <w:iCs/>
          <w:sz w:val="18"/>
          <w:szCs w:val="18"/>
          <w:u w:val="single"/>
        </w:rPr>
        <w:t xml:space="preserve">on </w:t>
      </w:r>
      <w:r w:rsidRPr="00332048">
        <w:rPr>
          <w:rFonts w:cs="Times New Roman"/>
          <w:b/>
          <w:bCs/>
          <w:i/>
          <w:iCs/>
          <w:sz w:val="18"/>
          <w:szCs w:val="18"/>
          <w:u w:val="single"/>
        </w:rPr>
        <w:t>culture, see the tables in chapter 1.</w:t>
      </w:r>
      <w:r w:rsidR="00C0209D" w:rsidRPr="00332048">
        <w:rPr>
          <w:rFonts w:cs="Times New Roman"/>
          <w:b/>
          <w:bCs/>
          <w:i/>
          <w:iCs/>
          <w:sz w:val="18"/>
          <w:szCs w:val="18"/>
          <w:u w:val="single"/>
        </w:rPr>
        <w:t>9</w:t>
      </w:r>
      <w:r w:rsidRPr="00332048">
        <w:rPr>
          <w:rFonts w:cs="Times New Roman"/>
          <w:b/>
          <w:bCs/>
          <w:i/>
          <w:iCs/>
          <w:sz w:val="18"/>
          <w:szCs w:val="18"/>
          <w:u w:val="single"/>
        </w:rPr>
        <w:t xml:space="preserve"> of the Arabic section, pages </w:t>
      </w:r>
      <w:r w:rsidR="00C0209D" w:rsidRPr="00332048">
        <w:rPr>
          <w:rFonts w:cs="Times New Roman"/>
          <w:b/>
          <w:bCs/>
          <w:i/>
          <w:iCs/>
          <w:sz w:val="18"/>
          <w:szCs w:val="18"/>
          <w:u w:val="single"/>
        </w:rPr>
        <w:t>117</w:t>
      </w:r>
      <w:r w:rsidRPr="00332048">
        <w:rPr>
          <w:rFonts w:cs="Times New Roman"/>
          <w:b/>
          <w:bCs/>
          <w:i/>
          <w:iCs/>
          <w:sz w:val="18"/>
          <w:szCs w:val="18"/>
          <w:u w:val="single"/>
        </w:rPr>
        <w:t>-</w:t>
      </w:r>
      <w:r w:rsidR="002E0DFC" w:rsidRPr="00332048">
        <w:rPr>
          <w:rFonts w:cs="Times New Roman"/>
          <w:b/>
          <w:bCs/>
          <w:i/>
          <w:iCs/>
          <w:sz w:val="18"/>
          <w:szCs w:val="18"/>
          <w:u w:val="single"/>
        </w:rPr>
        <w:t>1</w:t>
      </w:r>
      <w:r w:rsidR="00C0209D" w:rsidRPr="00332048">
        <w:rPr>
          <w:rFonts w:cs="Times New Roman"/>
          <w:b/>
          <w:bCs/>
          <w:i/>
          <w:iCs/>
          <w:sz w:val="18"/>
          <w:szCs w:val="18"/>
          <w:u w:val="single"/>
        </w:rPr>
        <w:t>2</w:t>
      </w:r>
      <w:r w:rsidR="002E0DFC" w:rsidRPr="00332048">
        <w:rPr>
          <w:rFonts w:cs="Times New Roman"/>
          <w:b/>
          <w:bCs/>
          <w:i/>
          <w:iCs/>
          <w:sz w:val="18"/>
          <w:szCs w:val="18"/>
          <w:u w:val="single"/>
        </w:rPr>
        <w:t>2</w:t>
      </w:r>
      <w:r w:rsidRPr="00332048">
        <w:rPr>
          <w:rFonts w:cs="Times New Roman"/>
          <w:b/>
          <w:bCs/>
          <w:i/>
          <w:iCs/>
          <w:sz w:val="18"/>
          <w:szCs w:val="18"/>
          <w:u w:val="single"/>
        </w:rPr>
        <w:t>.</w:t>
      </w:r>
    </w:p>
    <w:p w:rsidR="00084AEE" w:rsidRDefault="00084AEE" w:rsidP="00084AEE">
      <w:pPr>
        <w:pStyle w:val="Title"/>
        <w:bidi w:val="0"/>
        <w:ind w:left="98"/>
        <w:jc w:val="lowKashida"/>
        <w:rPr>
          <w:rFonts w:cs="Traditional Arabic"/>
          <w:sz w:val="20"/>
          <w:szCs w:val="20"/>
        </w:rPr>
      </w:pPr>
    </w:p>
    <w:p w:rsidR="00D27191" w:rsidRPr="00632B94" w:rsidRDefault="00D27191" w:rsidP="00332048">
      <w:pPr>
        <w:pStyle w:val="Title"/>
        <w:numPr>
          <w:ilvl w:val="0"/>
          <w:numId w:val="19"/>
        </w:numPr>
        <w:tabs>
          <w:tab w:val="right" w:pos="308"/>
        </w:tabs>
        <w:bidi w:val="0"/>
        <w:ind w:left="252" w:hanging="252"/>
        <w:jc w:val="left"/>
        <w:rPr>
          <w:rFonts w:cs="Traditional Arabic"/>
          <w:sz w:val="20"/>
          <w:szCs w:val="20"/>
        </w:rPr>
      </w:pPr>
      <w:r w:rsidRPr="00632B94">
        <w:rPr>
          <w:rFonts w:cs="Traditional Arabic"/>
          <w:sz w:val="20"/>
          <w:szCs w:val="20"/>
        </w:rPr>
        <w:t>Information Society</w:t>
      </w:r>
    </w:p>
    <w:p w:rsidR="00D27191" w:rsidRPr="00632B94" w:rsidRDefault="00D27191"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In </w:t>
      </w:r>
      <w:r w:rsidR="008D5841" w:rsidRPr="00632B94">
        <w:rPr>
          <w:noProof/>
        </w:rPr>
        <w:t>2017</w:t>
      </w:r>
      <w:r w:rsidRPr="00632B94">
        <w:rPr>
          <w:noProof/>
        </w:rPr>
        <w:t xml:space="preserve">, </w:t>
      </w:r>
      <w:r w:rsidR="00AF2689" w:rsidRPr="00632B94">
        <w:rPr>
          <w:noProof/>
        </w:rPr>
        <w:t>43.1</w:t>
      </w:r>
      <w:r w:rsidRPr="00632B94">
        <w:rPr>
          <w:noProof/>
        </w:rPr>
        <w:t xml:space="preserve">% of households </w:t>
      </w:r>
      <w:r w:rsidR="00926CEA" w:rsidRPr="00632B94">
        <w:rPr>
          <w:noProof/>
        </w:rPr>
        <w:t xml:space="preserve">in Palestine </w:t>
      </w:r>
      <w:r w:rsidRPr="00632B94">
        <w:rPr>
          <w:noProof/>
        </w:rPr>
        <w:t xml:space="preserve">had </w:t>
      </w:r>
      <w:r w:rsidR="00AF2689" w:rsidRPr="00632B94">
        <w:rPr>
          <w:noProof/>
        </w:rPr>
        <w:t xml:space="preserve"> a</w:t>
      </w:r>
      <w:r w:rsidRPr="00632B94">
        <w:rPr>
          <w:noProof/>
        </w:rPr>
        <w:t>computer.</w:t>
      </w:r>
    </w:p>
    <w:p w:rsidR="00D27191" w:rsidRPr="00632B94" w:rsidRDefault="00D27191"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In </w:t>
      </w:r>
      <w:r w:rsidR="006569AF" w:rsidRPr="00632B94">
        <w:rPr>
          <w:noProof/>
        </w:rPr>
        <w:t>2017</w:t>
      </w:r>
      <w:r w:rsidRPr="00632B94">
        <w:rPr>
          <w:noProof/>
        </w:rPr>
        <w:t xml:space="preserve">, </w:t>
      </w:r>
      <w:r w:rsidR="006569AF" w:rsidRPr="00632B94">
        <w:rPr>
          <w:noProof/>
        </w:rPr>
        <w:t>51</w:t>
      </w:r>
      <w:r w:rsidRPr="00632B94">
        <w:rPr>
          <w:noProof/>
        </w:rPr>
        <w:t>.</w:t>
      </w:r>
      <w:r w:rsidR="006569AF" w:rsidRPr="00632B94">
        <w:rPr>
          <w:noProof/>
        </w:rPr>
        <w:t>7</w:t>
      </w:r>
      <w:r w:rsidRPr="00632B94">
        <w:rPr>
          <w:noProof/>
        </w:rPr>
        <w:t xml:space="preserve">% of households in Palestine had an Internet connection and </w:t>
      </w:r>
      <w:r w:rsidR="00E90424" w:rsidRPr="00632B94">
        <w:rPr>
          <w:noProof/>
        </w:rPr>
        <w:t>96.6</w:t>
      </w:r>
      <w:r w:rsidRPr="00632B94">
        <w:rPr>
          <w:noProof/>
        </w:rPr>
        <w:t>% of households in Palestine had a mobile phone.</w:t>
      </w:r>
    </w:p>
    <w:p w:rsidR="00D27191" w:rsidRPr="00632B94" w:rsidRDefault="00C10B40" w:rsidP="00D27191">
      <w:pPr>
        <w:pStyle w:val="Heading1"/>
        <w:tabs>
          <w:tab w:val="left" w:pos="3537"/>
          <w:tab w:val="left" w:pos="5433"/>
          <w:tab w:val="left" w:pos="6511"/>
          <w:tab w:val="left" w:pos="7569"/>
          <w:tab w:val="left" w:pos="10245"/>
        </w:tabs>
        <w:jc w:val="center"/>
        <w:rPr>
          <w:rFonts w:ascii="Arial" w:hAnsi="Arial" w:cs="Arial"/>
          <w:sz w:val="18"/>
          <w:szCs w:val="18"/>
        </w:rPr>
      </w:pPr>
      <w:r>
        <w:rPr>
          <w:rFonts w:ascii="Arial" w:hAnsi="Arial" w:cs="Arial"/>
          <w:noProof/>
          <w:sz w:val="18"/>
          <w:szCs w:val="18"/>
        </w:rPr>
        <w:drawing>
          <wp:anchor distT="0" distB="0" distL="114300" distR="114300" simplePos="0" relativeHeight="251674624" behindDoc="1" locked="0" layoutInCell="1" allowOverlap="1">
            <wp:simplePos x="0" y="0"/>
            <wp:positionH relativeFrom="column">
              <wp:posOffset>657860</wp:posOffset>
            </wp:positionH>
            <wp:positionV relativeFrom="paragraph">
              <wp:posOffset>44450</wp:posOffset>
            </wp:positionV>
            <wp:extent cx="2947670" cy="3599815"/>
            <wp:effectExtent l="38100" t="19050" r="24130" b="19685"/>
            <wp:wrapSquare wrapText="bothSides"/>
            <wp:docPr id="30" name="Picture 3" descr="G:\كتاب 2014\خرائط\توفر كمبيوتر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كتاب 2014\خرائط\توفر كمبيوترE.jpg"/>
                    <pic:cNvPicPr>
                      <a:picLocks noChangeAspect="1" noChangeArrowheads="1"/>
                    </pic:cNvPicPr>
                  </pic:nvPicPr>
                  <pic:blipFill>
                    <a:blip r:embed="rId17"/>
                    <a:srcRect l="8290" t="12617" r="9989" b="17048"/>
                    <a:stretch>
                      <a:fillRect/>
                    </a:stretch>
                  </pic:blipFill>
                  <pic:spPr bwMode="auto">
                    <a:xfrm>
                      <a:off x="0" y="0"/>
                      <a:ext cx="2947670" cy="3599815"/>
                    </a:xfrm>
                    <a:prstGeom prst="rect">
                      <a:avLst/>
                    </a:prstGeom>
                    <a:noFill/>
                    <a:ln w="3175">
                      <a:solidFill>
                        <a:schemeClr val="tx1"/>
                      </a:solidFill>
                      <a:miter lim="800000"/>
                      <a:headEnd/>
                      <a:tailEnd/>
                    </a:ln>
                  </pic:spPr>
                </pic:pic>
              </a:graphicData>
            </a:graphic>
          </wp:anchor>
        </w:drawing>
      </w:r>
    </w:p>
    <w:p w:rsidR="00C0209D" w:rsidRDefault="00C0209D" w:rsidP="00D27191">
      <w:pPr>
        <w:pStyle w:val="Heading1"/>
        <w:tabs>
          <w:tab w:val="left" w:pos="3537"/>
          <w:tab w:val="left" w:pos="5433"/>
          <w:tab w:val="left" w:pos="6511"/>
          <w:tab w:val="left" w:pos="7569"/>
          <w:tab w:val="left" w:pos="10245"/>
        </w:tabs>
        <w:jc w:val="center"/>
        <w:rPr>
          <w:rFonts w:ascii="Arial" w:hAnsi="Arial" w:cs="Arial"/>
          <w:sz w:val="18"/>
          <w:szCs w:val="18"/>
        </w:rPr>
      </w:pPr>
    </w:p>
    <w:p w:rsidR="00C0209D" w:rsidRDefault="00C0209D"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0A426B" w:rsidRDefault="000A426B" w:rsidP="00D27191">
      <w:pPr>
        <w:pStyle w:val="Heading1"/>
        <w:tabs>
          <w:tab w:val="left" w:pos="3537"/>
          <w:tab w:val="left" w:pos="5433"/>
          <w:tab w:val="left" w:pos="6511"/>
          <w:tab w:val="left" w:pos="7569"/>
          <w:tab w:val="left" w:pos="10245"/>
        </w:tabs>
        <w:jc w:val="center"/>
        <w:rPr>
          <w:rFonts w:ascii="Arial" w:hAnsi="Arial" w:cs="Arial"/>
          <w:sz w:val="18"/>
          <w:szCs w:val="18"/>
        </w:rPr>
      </w:pPr>
    </w:p>
    <w:p w:rsidR="00C10B40" w:rsidRDefault="00C10B40" w:rsidP="00C10B40"/>
    <w:p w:rsidR="00D27191" w:rsidRPr="00632B94" w:rsidRDefault="00D27191" w:rsidP="00D27191">
      <w:pPr>
        <w:pStyle w:val="Heading1"/>
        <w:tabs>
          <w:tab w:val="left" w:pos="3537"/>
          <w:tab w:val="left" w:pos="5433"/>
          <w:tab w:val="left" w:pos="6511"/>
          <w:tab w:val="left" w:pos="7569"/>
          <w:tab w:val="left" w:pos="10245"/>
        </w:tabs>
        <w:jc w:val="center"/>
        <w:rPr>
          <w:rFonts w:ascii="Arial" w:hAnsi="Arial" w:cs="Arial"/>
          <w:sz w:val="18"/>
          <w:szCs w:val="18"/>
        </w:rPr>
      </w:pPr>
      <w:r w:rsidRPr="00632B94">
        <w:rPr>
          <w:rFonts w:ascii="Arial" w:hAnsi="Arial" w:cs="Arial"/>
          <w:sz w:val="18"/>
          <w:szCs w:val="18"/>
        </w:rPr>
        <w:t>Percentage</w:t>
      </w:r>
      <w:r w:rsidRPr="00632B94">
        <w:rPr>
          <w:rFonts w:ascii="Arial" w:hAnsi="Arial" w:cs="Arial"/>
          <w:b w:val="0"/>
          <w:bCs w:val="0"/>
          <w:sz w:val="18"/>
          <w:szCs w:val="18"/>
        </w:rPr>
        <w:t xml:space="preserve"> </w:t>
      </w:r>
      <w:r w:rsidRPr="00632B94">
        <w:rPr>
          <w:rFonts w:ascii="Arial" w:hAnsi="Arial" w:cs="Arial"/>
          <w:sz w:val="18"/>
          <w:szCs w:val="18"/>
        </w:rPr>
        <w:t xml:space="preserve">of Households in Palestine by Availability of (ICT) Tools </w:t>
      </w:r>
    </w:p>
    <w:p w:rsidR="00D27191" w:rsidRPr="00632B94" w:rsidRDefault="00D27191" w:rsidP="002E429B">
      <w:pPr>
        <w:pStyle w:val="Heading1"/>
        <w:tabs>
          <w:tab w:val="left" w:pos="3537"/>
          <w:tab w:val="left" w:pos="5433"/>
          <w:tab w:val="left" w:pos="6511"/>
          <w:tab w:val="left" w:pos="7569"/>
          <w:tab w:val="left" w:pos="10245"/>
        </w:tabs>
        <w:jc w:val="center"/>
        <w:rPr>
          <w:rFonts w:ascii="Arial" w:hAnsi="Arial" w:cs="Arial"/>
          <w:sz w:val="18"/>
          <w:szCs w:val="18"/>
        </w:rPr>
      </w:pPr>
      <w:r w:rsidRPr="00632B94">
        <w:rPr>
          <w:rFonts w:ascii="Arial" w:hAnsi="Arial" w:cs="Arial"/>
          <w:sz w:val="18"/>
          <w:szCs w:val="18"/>
        </w:rPr>
        <w:t xml:space="preserve">at Home, </w:t>
      </w:r>
      <w:r w:rsidR="002E429B" w:rsidRPr="00632B94">
        <w:rPr>
          <w:rFonts w:ascii="Arial" w:hAnsi="Arial" w:cs="Arial" w:hint="cs"/>
          <w:sz w:val="18"/>
          <w:szCs w:val="18"/>
          <w:rtl/>
          <w:lang w:val="en-GB"/>
        </w:rPr>
        <w:t>2017</w:t>
      </w:r>
    </w:p>
    <w:p w:rsidR="00D27191" w:rsidRPr="00632B94" w:rsidRDefault="00D27191" w:rsidP="00D27191">
      <w:pPr>
        <w:rPr>
          <w:sz w:val="10"/>
          <w:szCs w:val="10"/>
        </w:rPr>
      </w:pPr>
    </w:p>
    <w:p w:rsidR="00D27191" w:rsidRPr="00632B94" w:rsidRDefault="00D27191" w:rsidP="00D27191">
      <w:pPr>
        <w:jc w:val="center"/>
        <w:rPr>
          <w:rFonts w:ascii="Arial" w:hAnsi="Arial" w:cs="Arial"/>
          <w:b/>
          <w:bCs/>
          <w:szCs w:val="18"/>
        </w:rPr>
      </w:pPr>
      <w:r w:rsidRPr="00632B94">
        <w:rPr>
          <w:rFonts w:ascii="Arial" w:hAnsi="Arial" w:cs="Arial"/>
          <w:b/>
          <w:bCs/>
          <w:noProof/>
          <w:szCs w:val="18"/>
          <w:bdr w:val="single" w:sz="4" w:space="0" w:color="auto"/>
        </w:rPr>
        <w:drawing>
          <wp:inline distT="0" distB="0" distL="0" distR="0">
            <wp:extent cx="4191000" cy="1562100"/>
            <wp:effectExtent l="0" t="0" r="0" b="0"/>
            <wp:docPr id="3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85D10" w:rsidRPr="00632B94" w:rsidRDefault="00485D10" w:rsidP="00485D10">
      <w:pPr>
        <w:pStyle w:val="ListParagraph"/>
        <w:bidi w:val="0"/>
        <w:ind w:left="0"/>
        <w:jc w:val="lowKashida"/>
        <w:rPr>
          <w:rFonts w:cs="Times New Roman"/>
          <w:i/>
          <w:iCs/>
          <w:sz w:val="2"/>
          <w:szCs w:val="2"/>
          <w:u w:val="single"/>
        </w:rPr>
      </w:pPr>
    </w:p>
    <w:p w:rsidR="00D27191" w:rsidRPr="00332048" w:rsidRDefault="00D27191" w:rsidP="00C0209D">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details on the information society, see the tables in chapter 1.</w:t>
      </w:r>
      <w:r w:rsidR="00C0209D" w:rsidRPr="00332048">
        <w:rPr>
          <w:rFonts w:cs="Times New Roman"/>
          <w:b/>
          <w:bCs/>
          <w:i/>
          <w:iCs/>
          <w:sz w:val="18"/>
          <w:szCs w:val="18"/>
          <w:u w:val="single"/>
        </w:rPr>
        <w:t>10</w:t>
      </w:r>
      <w:r w:rsidRPr="00332048">
        <w:rPr>
          <w:rFonts w:cs="Times New Roman"/>
          <w:b/>
          <w:bCs/>
          <w:i/>
          <w:iCs/>
          <w:sz w:val="18"/>
          <w:szCs w:val="18"/>
          <w:u w:val="single"/>
        </w:rPr>
        <w:t xml:space="preserve"> of the Arabic section, pages</w:t>
      </w:r>
      <w:r w:rsidRPr="00332048">
        <w:rPr>
          <w:rFonts w:cs="Times New Roman"/>
          <w:b/>
          <w:bCs/>
          <w:i/>
          <w:iCs/>
          <w:sz w:val="18"/>
          <w:szCs w:val="18"/>
          <w:u w:val="single"/>
          <w:rtl/>
        </w:rPr>
        <w:t xml:space="preserve"> </w:t>
      </w:r>
      <w:r w:rsidRPr="00332048">
        <w:rPr>
          <w:rFonts w:cs="Times New Roman"/>
          <w:b/>
          <w:bCs/>
          <w:i/>
          <w:iCs/>
          <w:sz w:val="18"/>
          <w:szCs w:val="18"/>
          <w:u w:val="single"/>
        </w:rPr>
        <w:t>1</w:t>
      </w:r>
      <w:r w:rsidR="00C0209D" w:rsidRPr="00332048">
        <w:rPr>
          <w:rFonts w:cs="Times New Roman"/>
          <w:b/>
          <w:bCs/>
          <w:i/>
          <w:iCs/>
          <w:sz w:val="18"/>
          <w:szCs w:val="18"/>
          <w:u w:val="single"/>
        </w:rPr>
        <w:t>2</w:t>
      </w:r>
      <w:r w:rsidR="00123CC8" w:rsidRPr="00332048">
        <w:rPr>
          <w:rFonts w:cs="Times New Roman"/>
          <w:b/>
          <w:bCs/>
          <w:i/>
          <w:iCs/>
          <w:sz w:val="18"/>
          <w:szCs w:val="18"/>
          <w:u w:val="single"/>
        </w:rPr>
        <w:t>3</w:t>
      </w:r>
      <w:r w:rsidRPr="00332048">
        <w:rPr>
          <w:rFonts w:cs="Times New Roman"/>
          <w:b/>
          <w:bCs/>
          <w:i/>
          <w:iCs/>
          <w:sz w:val="18"/>
          <w:szCs w:val="18"/>
          <w:u w:val="single"/>
        </w:rPr>
        <w:t>-1</w:t>
      </w:r>
      <w:r w:rsidR="00C0209D" w:rsidRPr="00332048">
        <w:rPr>
          <w:rFonts w:cs="Times New Roman"/>
          <w:b/>
          <w:bCs/>
          <w:i/>
          <w:iCs/>
          <w:sz w:val="18"/>
          <w:szCs w:val="18"/>
          <w:u w:val="single"/>
        </w:rPr>
        <w:t>32</w:t>
      </w:r>
      <w:r w:rsidRPr="00332048">
        <w:rPr>
          <w:rFonts w:cs="Times New Roman"/>
          <w:b/>
          <w:bCs/>
          <w:i/>
          <w:iCs/>
          <w:sz w:val="18"/>
          <w:szCs w:val="18"/>
          <w:u w:val="single"/>
        </w:rPr>
        <w:t>.</w:t>
      </w:r>
    </w:p>
    <w:p w:rsidR="00EB1A1F" w:rsidRPr="00632B94" w:rsidRDefault="00C0209D" w:rsidP="00332048">
      <w:pPr>
        <w:pStyle w:val="Title"/>
        <w:numPr>
          <w:ilvl w:val="0"/>
          <w:numId w:val="19"/>
        </w:numPr>
        <w:tabs>
          <w:tab w:val="right" w:pos="308"/>
        </w:tabs>
        <w:bidi w:val="0"/>
        <w:ind w:left="252" w:hanging="252"/>
        <w:jc w:val="left"/>
        <w:rPr>
          <w:rFonts w:cs="Traditional Arabic"/>
          <w:sz w:val="20"/>
          <w:szCs w:val="20"/>
        </w:rPr>
      </w:pPr>
      <w:r>
        <w:rPr>
          <w:rFonts w:cs="Traditional Arabic"/>
          <w:sz w:val="20"/>
          <w:szCs w:val="20"/>
        </w:rPr>
        <w:drawing>
          <wp:anchor distT="0" distB="0" distL="114300" distR="114300" simplePos="0" relativeHeight="251682816" behindDoc="0" locked="0" layoutInCell="1" allowOverlap="1">
            <wp:simplePos x="0" y="0"/>
            <wp:positionH relativeFrom="column">
              <wp:posOffset>1870710</wp:posOffset>
            </wp:positionH>
            <wp:positionV relativeFrom="paragraph">
              <wp:posOffset>80010</wp:posOffset>
            </wp:positionV>
            <wp:extent cx="2908300" cy="3994150"/>
            <wp:effectExtent l="19050" t="0" r="6350" b="0"/>
            <wp:wrapSquare wrapText="bothSides"/>
            <wp:docPr id="10" name="Picture 2" descr="G:\بعد ادخال المواد عليه كتاب فلسطين الاحصائي 2017\الخرائط  الاحصائية 2017\الخرائط 2017\Garden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بعد ادخال المواد عليه كتاب فلسطين الاحصائي 2017\الخرائط  الاحصائية 2017\الخرائط 2017\Garden_En.png"/>
                    <pic:cNvPicPr>
                      <a:picLocks noChangeAspect="1" noChangeArrowheads="1"/>
                    </pic:cNvPicPr>
                  </pic:nvPicPr>
                  <pic:blipFill>
                    <a:blip r:embed="rId19"/>
                    <a:srcRect l="10175" t="4971" r="9474" b="16868"/>
                    <a:stretch>
                      <a:fillRect/>
                    </a:stretch>
                  </pic:blipFill>
                  <pic:spPr bwMode="auto">
                    <a:xfrm>
                      <a:off x="0" y="0"/>
                      <a:ext cx="2908300" cy="3994150"/>
                    </a:xfrm>
                    <a:prstGeom prst="rect">
                      <a:avLst/>
                    </a:prstGeom>
                    <a:noFill/>
                    <a:ln w="9525">
                      <a:noFill/>
                      <a:miter lim="800000"/>
                      <a:headEnd/>
                      <a:tailEnd/>
                    </a:ln>
                  </pic:spPr>
                </pic:pic>
              </a:graphicData>
            </a:graphic>
          </wp:anchor>
        </w:drawing>
      </w:r>
      <w:r w:rsidR="008D1EBD" w:rsidRPr="00632B94">
        <w:rPr>
          <w:rFonts w:cs="Traditional Arabic"/>
          <w:sz w:val="20"/>
          <w:szCs w:val="20"/>
        </w:rPr>
        <w:t xml:space="preserve">Agriculture and </w:t>
      </w:r>
      <w:r w:rsidR="00EB1A1F" w:rsidRPr="00632B94">
        <w:rPr>
          <w:rFonts w:cs="Traditional Arabic"/>
          <w:sz w:val="20"/>
          <w:szCs w:val="20"/>
        </w:rPr>
        <w:t>Land Use</w:t>
      </w:r>
    </w:p>
    <w:p w:rsidR="008225F0" w:rsidRDefault="008225F0"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There were 32,177 animal and mixed holdings in Palestine: of </w:t>
      </w:r>
      <w:r w:rsidR="00926CEA" w:rsidRPr="00632B94">
        <w:rPr>
          <w:noProof/>
        </w:rPr>
        <w:t xml:space="preserve">which </w:t>
      </w:r>
      <w:r w:rsidRPr="00632B94">
        <w:rPr>
          <w:noProof/>
        </w:rPr>
        <w:t>25,676 were in the West Bank (79.8%) and 6,501 in Gaza Strip (20.2%) during the agricultural year 201</w:t>
      </w:r>
      <w:r w:rsidRPr="00632B94">
        <w:rPr>
          <w:noProof/>
          <w:rtl/>
        </w:rPr>
        <w:t>2</w:t>
      </w:r>
      <w:r w:rsidRPr="00632B94">
        <w:rPr>
          <w:noProof/>
        </w:rPr>
        <w:t>/201</w:t>
      </w:r>
      <w:r w:rsidRPr="00632B94">
        <w:rPr>
          <w:noProof/>
          <w:rtl/>
        </w:rPr>
        <w:t>3</w:t>
      </w:r>
      <w:r w:rsidRPr="00632B94">
        <w:rPr>
          <w:noProof/>
        </w:rPr>
        <w:t>.</w:t>
      </w:r>
    </w:p>
    <w:p w:rsidR="00DC4287" w:rsidRPr="00632B94" w:rsidRDefault="00DC4287"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There were </w:t>
      </w:r>
      <w:r w:rsidR="008225F0" w:rsidRPr="00632B94">
        <w:rPr>
          <w:noProof/>
        </w:rPr>
        <w:t>12,167</w:t>
      </w:r>
      <w:r w:rsidRPr="00632B94">
        <w:rPr>
          <w:noProof/>
        </w:rPr>
        <w:t xml:space="preserve"> </w:t>
      </w:r>
      <w:r w:rsidR="008225F0" w:rsidRPr="00632B94">
        <w:rPr>
          <w:noProof/>
        </w:rPr>
        <w:t>animal</w:t>
      </w:r>
      <w:r w:rsidRPr="00632B94">
        <w:rPr>
          <w:noProof/>
        </w:rPr>
        <w:t xml:space="preserve"> holdings constitut</w:t>
      </w:r>
      <w:r w:rsidR="00711258" w:rsidRPr="00632B94">
        <w:rPr>
          <w:noProof/>
        </w:rPr>
        <w:t>ing</w:t>
      </w:r>
      <w:r w:rsidRPr="00632B94">
        <w:rPr>
          <w:noProof/>
        </w:rPr>
        <w:t xml:space="preserve"> </w:t>
      </w:r>
      <w:r w:rsidR="008225F0" w:rsidRPr="00632B94">
        <w:rPr>
          <w:noProof/>
        </w:rPr>
        <w:t>37.8</w:t>
      </w:r>
      <w:r w:rsidRPr="00632B94">
        <w:rPr>
          <w:noProof/>
        </w:rPr>
        <w:t xml:space="preserve">% of </w:t>
      </w:r>
      <w:r w:rsidR="008225F0" w:rsidRPr="00632B94">
        <w:rPr>
          <w:noProof/>
        </w:rPr>
        <w:t>animal and mixed</w:t>
      </w:r>
      <w:r w:rsidRPr="00632B94">
        <w:rPr>
          <w:noProof/>
        </w:rPr>
        <w:t xml:space="preserve"> holdings in </w:t>
      </w:r>
      <w:r w:rsidR="0021776D" w:rsidRPr="00632B94">
        <w:rPr>
          <w:noProof/>
        </w:rPr>
        <w:t>Palestine</w:t>
      </w:r>
      <w:r w:rsidRPr="00632B94">
        <w:rPr>
          <w:noProof/>
        </w:rPr>
        <w:t xml:space="preserve">. There were </w:t>
      </w:r>
      <w:r w:rsidR="008225F0" w:rsidRPr="00632B94">
        <w:rPr>
          <w:noProof/>
        </w:rPr>
        <w:t>20,010</w:t>
      </w:r>
      <w:r w:rsidRPr="00632B94">
        <w:rPr>
          <w:noProof/>
        </w:rPr>
        <w:t xml:space="preserve"> mixed holdings constitut</w:t>
      </w:r>
      <w:r w:rsidR="00711258" w:rsidRPr="00632B94">
        <w:rPr>
          <w:noProof/>
        </w:rPr>
        <w:t>ing</w:t>
      </w:r>
      <w:r w:rsidRPr="00632B94">
        <w:rPr>
          <w:noProof/>
        </w:rPr>
        <w:t xml:space="preserve"> </w:t>
      </w:r>
      <w:r w:rsidR="008225F0" w:rsidRPr="00632B94">
        <w:rPr>
          <w:noProof/>
        </w:rPr>
        <w:t>62.2</w:t>
      </w:r>
      <w:r w:rsidRPr="00632B94">
        <w:rPr>
          <w:noProof/>
        </w:rPr>
        <w:t xml:space="preserve">% of </w:t>
      </w:r>
      <w:r w:rsidR="008225F0" w:rsidRPr="00632B94">
        <w:rPr>
          <w:noProof/>
        </w:rPr>
        <w:t>animal and mixed</w:t>
      </w:r>
      <w:r w:rsidRPr="00632B94">
        <w:rPr>
          <w:noProof/>
        </w:rPr>
        <w:t xml:space="preserve"> holdings</w:t>
      </w:r>
      <w:r w:rsidR="008225F0" w:rsidRPr="00632B94">
        <w:rPr>
          <w:noProof/>
        </w:rPr>
        <w:t xml:space="preserve"> during</w:t>
      </w:r>
      <w:r w:rsidRPr="00632B94">
        <w:rPr>
          <w:noProof/>
        </w:rPr>
        <w:t xml:space="preserve"> the agricultural year </w:t>
      </w:r>
      <w:r w:rsidR="008225F0" w:rsidRPr="00632B94">
        <w:rPr>
          <w:noProof/>
        </w:rPr>
        <w:t>2012</w:t>
      </w:r>
      <w:r w:rsidRPr="00632B94">
        <w:rPr>
          <w:noProof/>
        </w:rPr>
        <w:t>/</w:t>
      </w:r>
      <w:r w:rsidR="008225F0" w:rsidRPr="00632B94">
        <w:rPr>
          <w:noProof/>
        </w:rPr>
        <w:t>2013</w:t>
      </w:r>
      <w:r w:rsidRPr="00632B94">
        <w:rPr>
          <w:noProof/>
        </w:rPr>
        <w:t>.</w:t>
      </w:r>
    </w:p>
    <w:p w:rsidR="00F334E1" w:rsidRPr="00632B94" w:rsidRDefault="007C0C59" w:rsidP="00D71FFC">
      <w:pPr>
        <w:pStyle w:val="BodyText2"/>
        <w:numPr>
          <w:ilvl w:val="0"/>
          <w:numId w:val="2"/>
        </w:numPr>
        <w:overflowPunct/>
        <w:autoSpaceDE/>
        <w:autoSpaceDN/>
        <w:adjustRightInd/>
        <w:spacing w:after="120"/>
        <w:ind w:left="266" w:hanging="266"/>
        <w:textAlignment w:val="auto"/>
        <w:rPr>
          <w:noProof/>
        </w:rPr>
      </w:pPr>
      <w:r w:rsidRPr="00632B94">
        <w:rPr>
          <w:noProof/>
        </w:rPr>
        <w:t>There w</w:t>
      </w:r>
      <w:r w:rsidR="00F334E1" w:rsidRPr="00632B94">
        <w:rPr>
          <w:noProof/>
        </w:rPr>
        <w:t xml:space="preserve">ere 33,980 </w:t>
      </w:r>
      <w:r w:rsidR="00B92D78" w:rsidRPr="00632B94">
        <w:rPr>
          <w:noProof/>
        </w:rPr>
        <w:t>cows</w:t>
      </w:r>
      <w:r w:rsidR="00F334E1" w:rsidRPr="00332048">
        <w:rPr>
          <w:noProof/>
        </w:rPr>
        <w:t xml:space="preserve"> </w:t>
      </w:r>
      <w:r w:rsidR="000A426B">
        <w:rPr>
          <w:noProof/>
        </w:rPr>
        <w:t xml:space="preserve">in Palestine </w:t>
      </w:r>
      <w:r w:rsidR="00F334E1" w:rsidRPr="00632B94">
        <w:rPr>
          <w:noProof/>
        </w:rPr>
        <w:t xml:space="preserve">on 01/10/2013. </w:t>
      </w:r>
    </w:p>
    <w:p w:rsidR="00F334E1" w:rsidRPr="00632B94" w:rsidRDefault="00F334E1" w:rsidP="00D71FFC">
      <w:pPr>
        <w:pStyle w:val="BodyText2"/>
        <w:numPr>
          <w:ilvl w:val="0"/>
          <w:numId w:val="2"/>
        </w:numPr>
        <w:overflowPunct/>
        <w:autoSpaceDE/>
        <w:autoSpaceDN/>
        <w:adjustRightInd/>
        <w:spacing w:after="120"/>
        <w:ind w:left="266" w:hanging="266"/>
        <w:textAlignment w:val="auto"/>
        <w:rPr>
          <w:noProof/>
        </w:rPr>
      </w:pPr>
      <w:r w:rsidRPr="00632B94">
        <w:rPr>
          <w:noProof/>
        </w:rPr>
        <w:t>There were 730,894 sheep in Palestine</w:t>
      </w:r>
      <w:r w:rsidR="000A426B">
        <w:rPr>
          <w:noProof/>
        </w:rPr>
        <w:t xml:space="preserve"> </w:t>
      </w:r>
      <w:r w:rsidRPr="00632B94">
        <w:rPr>
          <w:noProof/>
        </w:rPr>
        <w:t xml:space="preserve">on 01/10/2013.  </w:t>
      </w:r>
    </w:p>
    <w:p w:rsidR="000A426B" w:rsidRDefault="00F334E1" w:rsidP="00D71FFC">
      <w:pPr>
        <w:pStyle w:val="BodyText2"/>
        <w:numPr>
          <w:ilvl w:val="0"/>
          <w:numId w:val="2"/>
        </w:numPr>
        <w:overflowPunct/>
        <w:autoSpaceDE/>
        <w:autoSpaceDN/>
        <w:adjustRightInd/>
        <w:spacing w:after="120"/>
        <w:ind w:left="266" w:hanging="266"/>
        <w:textAlignment w:val="auto"/>
        <w:rPr>
          <w:noProof/>
        </w:rPr>
      </w:pPr>
      <w:r w:rsidRPr="00632B94">
        <w:rPr>
          <w:noProof/>
        </w:rPr>
        <w:t>There were 215,335 goats in Palestine</w:t>
      </w:r>
      <w:r w:rsidR="000A426B">
        <w:rPr>
          <w:noProof/>
        </w:rPr>
        <w:t xml:space="preserve"> </w:t>
      </w:r>
      <w:r w:rsidRPr="00632B94">
        <w:rPr>
          <w:noProof/>
        </w:rPr>
        <w:t>on 01/10/</w:t>
      </w:r>
      <w:r w:rsidR="00B02992" w:rsidRPr="00632B94">
        <w:rPr>
          <w:noProof/>
        </w:rPr>
        <w:t>2013</w:t>
      </w:r>
      <w:r w:rsidRPr="00632B94">
        <w:rPr>
          <w:noProof/>
        </w:rPr>
        <w:t>.</w:t>
      </w:r>
      <w:r w:rsidR="000A426B" w:rsidRPr="000A426B">
        <w:rPr>
          <w:noProof/>
        </w:rPr>
        <w:t xml:space="preserve"> </w:t>
      </w:r>
    </w:p>
    <w:p w:rsidR="000A426B" w:rsidRPr="00632B94" w:rsidRDefault="000A426B" w:rsidP="000A426B">
      <w:pPr>
        <w:pStyle w:val="BodyText2"/>
        <w:numPr>
          <w:ilvl w:val="0"/>
          <w:numId w:val="2"/>
        </w:numPr>
        <w:overflowPunct/>
        <w:autoSpaceDE/>
        <w:autoSpaceDN/>
        <w:adjustRightInd/>
        <w:spacing w:after="120"/>
        <w:ind w:left="266" w:hanging="266"/>
        <w:textAlignment w:val="auto"/>
        <w:rPr>
          <w:noProof/>
        </w:rPr>
      </w:pPr>
      <w:r w:rsidRPr="00632B94">
        <w:rPr>
          <w:noProof/>
        </w:rPr>
        <w:t>10.0% of households in Palestine reared livestock (domestic) as on 24/03/2015.</w:t>
      </w:r>
    </w:p>
    <w:p w:rsidR="006418EE" w:rsidRPr="00632B94" w:rsidRDefault="006418EE"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27.4% of households in Palestine </w:t>
      </w:r>
      <w:r w:rsidR="00CF4D0E" w:rsidRPr="00632B94">
        <w:rPr>
          <w:noProof/>
        </w:rPr>
        <w:t>ha</w:t>
      </w:r>
      <w:r w:rsidR="00CF4D0E">
        <w:rPr>
          <w:noProof/>
        </w:rPr>
        <w:t>d</w:t>
      </w:r>
      <w:r w:rsidR="00CF4D0E" w:rsidRPr="00632B94">
        <w:rPr>
          <w:noProof/>
        </w:rPr>
        <w:t xml:space="preserve"> </w:t>
      </w:r>
      <w:r w:rsidRPr="00632B94">
        <w:rPr>
          <w:noProof/>
        </w:rPr>
        <w:t>a garden as on 24/03/2015.</w:t>
      </w:r>
    </w:p>
    <w:p w:rsidR="006418EE" w:rsidRPr="00632B94" w:rsidRDefault="006418EE"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91.9% of households </w:t>
      </w:r>
      <w:r w:rsidR="00680CE9" w:rsidRPr="00632B94">
        <w:rPr>
          <w:noProof/>
        </w:rPr>
        <w:t xml:space="preserve">were </w:t>
      </w:r>
      <w:r w:rsidRPr="00632B94">
        <w:rPr>
          <w:noProof/>
        </w:rPr>
        <w:t xml:space="preserve">with a garden in Palestine </w:t>
      </w:r>
      <w:r w:rsidR="00680CE9" w:rsidRPr="00632B94">
        <w:rPr>
          <w:noProof/>
        </w:rPr>
        <w:t xml:space="preserve">and </w:t>
      </w:r>
      <w:r w:rsidRPr="00632B94">
        <w:rPr>
          <w:noProof/>
        </w:rPr>
        <w:t>utilized for agricultural activity during agricultural year 2013/2014.</w:t>
      </w:r>
    </w:p>
    <w:p w:rsidR="00A94F17" w:rsidRPr="00632B94" w:rsidRDefault="00A94F17"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total quantity of pressed olives in 2017 was 87,799.1 </w:t>
      </w:r>
      <w:r w:rsidR="000A426B">
        <w:rPr>
          <w:noProof/>
        </w:rPr>
        <w:t xml:space="preserve">metric </w:t>
      </w:r>
      <w:r w:rsidRPr="00632B94">
        <w:rPr>
          <w:noProof/>
        </w:rPr>
        <w:t xml:space="preserve">tons and the quantity of extracted oil was 19,532.9 </w:t>
      </w:r>
      <w:r w:rsidR="000A426B">
        <w:rPr>
          <w:noProof/>
        </w:rPr>
        <w:t xml:space="preserve">metric </w:t>
      </w:r>
      <w:r w:rsidRPr="00632B94">
        <w:rPr>
          <w:noProof/>
        </w:rPr>
        <w:t xml:space="preserve">tons. </w:t>
      </w:r>
    </w:p>
    <w:p w:rsidR="00A94F17" w:rsidRPr="00632B94" w:rsidRDefault="00A94F17" w:rsidP="00332048">
      <w:pPr>
        <w:pStyle w:val="BodyText2"/>
        <w:numPr>
          <w:ilvl w:val="0"/>
          <w:numId w:val="2"/>
        </w:numPr>
        <w:overflowPunct/>
        <w:autoSpaceDE/>
        <w:autoSpaceDN/>
        <w:adjustRightInd/>
        <w:spacing w:after="120"/>
        <w:ind w:left="266" w:hanging="266"/>
        <w:textAlignment w:val="auto"/>
        <w:rPr>
          <w:noProof/>
        </w:rPr>
      </w:pPr>
      <w:r w:rsidRPr="00632B94">
        <w:rPr>
          <w:noProof/>
        </w:rPr>
        <w:t>The value added of olive pressing activity totaled USD 12.7 million, while the intermediate consumption and output of olive presses totaled USD 2.9 million and USD 15.6 million respectively.</w:t>
      </w:r>
    </w:p>
    <w:p w:rsidR="00C0209D" w:rsidRDefault="00C0209D" w:rsidP="00DB6ADE">
      <w:pPr>
        <w:pStyle w:val="ListParagraph"/>
        <w:bidi w:val="0"/>
        <w:ind w:left="0"/>
        <w:jc w:val="lowKashida"/>
        <w:rPr>
          <w:rFonts w:cs="Times New Roman"/>
          <w:i/>
          <w:iCs/>
          <w:sz w:val="20"/>
          <w:u w:val="single"/>
          <w:rtl/>
        </w:rPr>
      </w:pPr>
    </w:p>
    <w:p w:rsidR="00020126" w:rsidRPr="00332048" w:rsidRDefault="009C673D" w:rsidP="00FA6A6A">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w:t>
      </w:r>
      <w:r w:rsidR="00D9796F" w:rsidRPr="00332048">
        <w:rPr>
          <w:rFonts w:cs="Times New Roman"/>
          <w:b/>
          <w:bCs/>
          <w:i/>
          <w:iCs/>
          <w:sz w:val="18"/>
          <w:szCs w:val="18"/>
          <w:u w:val="single"/>
        </w:rPr>
        <w:t>s</w:t>
      </w:r>
      <w:r w:rsidRPr="00332048">
        <w:rPr>
          <w:rFonts w:cs="Times New Roman"/>
          <w:b/>
          <w:bCs/>
          <w:i/>
          <w:iCs/>
          <w:sz w:val="18"/>
          <w:szCs w:val="18"/>
          <w:u w:val="single"/>
        </w:rPr>
        <w:t xml:space="preserve"> </w:t>
      </w:r>
      <w:r w:rsidR="00FA6A6A" w:rsidRPr="00E126B8">
        <w:rPr>
          <w:rFonts w:cs="Times New Roman"/>
          <w:b/>
          <w:bCs/>
          <w:i/>
          <w:iCs/>
          <w:sz w:val="18"/>
          <w:szCs w:val="18"/>
          <w:u w:val="single"/>
        </w:rPr>
        <w:t xml:space="preserve">on </w:t>
      </w:r>
      <w:r w:rsidR="00D9796F" w:rsidRPr="00332048">
        <w:rPr>
          <w:rFonts w:cs="Times New Roman"/>
          <w:b/>
          <w:bCs/>
          <w:i/>
          <w:iCs/>
          <w:sz w:val="18"/>
          <w:szCs w:val="18"/>
          <w:u w:val="single"/>
        </w:rPr>
        <w:t>a</w:t>
      </w:r>
      <w:r w:rsidRPr="00332048">
        <w:rPr>
          <w:rFonts w:cs="Times New Roman"/>
          <w:b/>
          <w:bCs/>
          <w:i/>
          <w:iCs/>
          <w:sz w:val="18"/>
          <w:szCs w:val="18"/>
          <w:u w:val="single"/>
        </w:rPr>
        <w:t xml:space="preserve">griculture and </w:t>
      </w:r>
      <w:r w:rsidR="00D9796F" w:rsidRPr="00332048">
        <w:rPr>
          <w:rFonts w:cs="Times New Roman"/>
          <w:b/>
          <w:bCs/>
          <w:i/>
          <w:iCs/>
          <w:sz w:val="18"/>
          <w:szCs w:val="18"/>
          <w:u w:val="single"/>
        </w:rPr>
        <w:t>l</w:t>
      </w:r>
      <w:r w:rsidRPr="00332048">
        <w:rPr>
          <w:rFonts w:cs="Times New Roman"/>
          <w:b/>
          <w:bCs/>
          <w:i/>
          <w:iCs/>
          <w:sz w:val="18"/>
          <w:szCs w:val="18"/>
          <w:u w:val="single"/>
        </w:rPr>
        <w:t xml:space="preserve">and </w:t>
      </w:r>
      <w:r w:rsidR="00D9796F" w:rsidRPr="00332048">
        <w:rPr>
          <w:rFonts w:cs="Times New Roman"/>
          <w:b/>
          <w:bCs/>
          <w:i/>
          <w:iCs/>
          <w:sz w:val="18"/>
          <w:szCs w:val="18"/>
          <w:u w:val="single"/>
        </w:rPr>
        <w:t>u</w:t>
      </w:r>
      <w:r w:rsidRPr="00332048">
        <w:rPr>
          <w:rFonts w:cs="Times New Roman"/>
          <w:b/>
          <w:bCs/>
          <w:i/>
          <w:iCs/>
          <w:sz w:val="18"/>
          <w:szCs w:val="18"/>
          <w:u w:val="single"/>
        </w:rPr>
        <w:t>se</w:t>
      </w:r>
      <w:r w:rsidR="00D9796F" w:rsidRPr="00332048">
        <w:rPr>
          <w:rFonts w:cs="Times New Roman"/>
          <w:b/>
          <w:bCs/>
          <w:i/>
          <w:iCs/>
          <w:sz w:val="18"/>
          <w:szCs w:val="18"/>
          <w:u w:val="single"/>
        </w:rPr>
        <w:t>,</w:t>
      </w:r>
      <w:r w:rsidRPr="00332048">
        <w:rPr>
          <w:rFonts w:cs="Times New Roman"/>
          <w:b/>
          <w:bCs/>
          <w:i/>
          <w:iCs/>
          <w:sz w:val="18"/>
          <w:szCs w:val="18"/>
          <w:u w:val="single"/>
        </w:rPr>
        <w:t xml:space="preserve"> </w:t>
      </w:r>
      <w:r w:rsidR="0037009A" w:rsidRPr="00332048">
        <w:rPr>
          <w:rFonts w:cs="Times New Roman"/>
          <w:b/>
          <w:bCs/>
          <w:i/>
          <w:iCs/>
          <w:sz w:val="18"/>
          <w:szCs w:val="18"/>
          <w:u w:val="single"/>
        </w:rPr>
        <w:t xml:space="preserve">see </w:t>
      </w:r>
      <w:r w:rsidR="00D9796F" w:rsidRPr="00332048">
        <w:rPr>
          <w:rFonts w:cs="Times New Roman"/>
          <w:b/>
          <w:bCs/>
          <w:i/>
          <w:iCs/>
          <w:sz w:val="18"/>
          <w:szCs w:val="18"/>
          <w:u w:val="single"/>
        </w:rPr>
        <w:t xml:space="preserve">the </w:t>
      </w:r>
      <w:r w:rsidR="0037009A" w:rsidRPr="00332048">
        <w:rPr>
          <w:rFonts w:cs="Times New Roman"/>
          <w:b/>
          <w:bCs/>
          <w:i/>
          <w:iCs/>
          <w:sz w:val="18"/>
          <w:szCs w:val="18"/>
          <w:u w:val="single"/>
        </w:rPr>
        <w:t xml:space="preserve">tables </w:t>
      </w:r>
      <w:r w:rsidRPr="00332048">
        <w:rPr>
          <w:rFonts w:cs="Times New Roman"/>
          <w:b/>
          <w:bCs/>
          <w:i/>
          <w:iCs/>
          <w:sz w:val="18"/>
          <w:szCs w:val="18"/>
          <w:u w:val="single"/>
        </w:rPr>
        <w:t xml:space="preserve">in chapter </w:t>
      </w:r>
      <w:r w:rsidR="00C0209D" w:rsidRPr="00332048">
        <w:rPr>
          <w:rFonts w:cs="Times New Roman" w:hint="cs"/>
          <w:b/>
          <w:bCs/>
          <w:i/>
          <w:iCs/>
          <w:sz w:val="18"/>
          <w:szCs w:val="18"/>
          <w:u w:val="single"/>
          <w:rtl/>
        </w:rPr>
        <w:t>1.11</w:t>
      </w:r>
      <w:r w:rsidRPr="00332048">
        <w:rPr>
          <w:rFonts w:cs="Times New Roman"/>
          <w:b/>
          <w:bCs/>
          <w:i/>
          <w:iCs/>
          <w:sz w:val="18"/>
          <w:szCs w:val="18"/>
          <w:u w:val="single"/>
        </w:rPr>
        <w:t xml:space="preserve"> </w:t>
      </w:r>
      <w:r w:rsidR="00D9796F" w:rsidRPr="00332048">
        <w:rPr>
          <w:rFonts w:cs="Times New Roman"/>
          <w:b/>
          <w:bCs/>
          <w:i/>
          <w:iCs/>
          <w:sz w:val="18"/>
          <w:szCs w:val="18"/>
          <w:u w:val="single"/>
        </w:rPr>
        <w:t>of the</w:t>
      </w:r>
      <w:r w:rsidRPr="00332048">
        <w:rPr>
          <w:rFonts w:cs="Times New Roman"/>
          <w:b/>
          <w:bCs/>
          <w:i/>
          <w:iCs/>
          <w:sz w:val="18"/>
          <w:szCs w:val="18"/>
          <w:u w:val="single"/>
        </w:rPr>
        <w:t xml:space="preserve"> Ar</w:t>
      </w:r>
      <w:r w:rsidR="00D9796F" w:rsidRPr="00332048">
        <w:rPr>
          <w:rFonts w:cs="Times New Roman"/>
          <w:b/>
          <w:bCs/>
          <w:i/>
          <w:iCs/>
          <w:sz w:val="18"/>
          <w:szCs w:val="18"/>
          <w:u w:val="single"/>
        </w:rPr>
        <w:t>a</w:t>
      </w:r>
      <w:r w:rsidRPr="00332048">
        <w:rPr>
          <w:rFonts w:cs="Times New Roman"/>
          <w:b/>
          <w:bCs/>
          <w:i/>
          <w:iCs/>
          <w:sz w:val="18"/>
          <w:szCs w:val="18"/>
          <w:u w:val="single"/>
        </w:rPr>
        <w:t xml:space="preserve">bic </w:t>
      </w:r>
      <w:r w:rsidR="00D9796F" w:rsidRPr="00332048">
        <w:rPr>
          <w:rFonts w:cs="Times New Roman"/>
          <w:b/>
          <w:bCs/>
          <w:i/>
          <w:iCs/>
          <w:sz w:val="18"/>
          <w:szCs w:val="18"/>
          <w:u w:val="single"/>
        </w:rPr>
        <w:t>section, p</w:t>
      </w:r>
      <w:r w:rsidRPr="00332048">
        <w:rPr>
          <w:rFonts w:cs="Times New Roman"/>
          <w:b/>
          <w:bCs/>
          <w:i/>
          <w:iCs/>
          <w:sz w:val="18"/>
          <w:szCs w:val="18"/>
          <w:u w:val="single"/>
        </w:rPr>
        <w:t>age</w:t>
      </w:r>
      <w:r w:rsidR="00D9796F" w:rsidRPr="00332048">
        <w:rPr>
          <w:rFonts w:cs="Times New Roman"/>
          <w:b/>
          <w:bCs/>
          <w:i/>
          <w:iCs/>
          <w:sz w:val="18"/>
          <w:szCs w:val="18"/>
          <w:u w:val="single"/>
        </w:rPr>
        <w:t>s</w:t>
      </w:r>
      <w:r w:rsidR="006A480D" w:rsidRPr="00332048">
        <w:rPr>
          <w:rFonts w:cs="Times New Roman"/>
          <w:b/>
          <w:bCs/>
          <w:i/>
          <w:iCs/>
          <w:sz w:val="18"/>
          <w:szCs w:val="18"/>
          <w:u w:val="single"/>
        </w:rPr>
        <w:t xml:space="preserve"> </w:t>
      </w:r>
      <w:r w:rsidR="00DB6ADE" w:rsidRPr="00332048">
        <w:rPr>
          <w:rFonts w:cs="Times New Roman" w:hint="cs"/>
          <w:b/>
          <w:bCs/>
          <w:i/>
          <w:iCs/>
          <w:sz w:val="18"/>
          <w:szCs w:val="18"/>
          <w:u w:val="single"/>
          <w:rtl/>
        </w:rPr>
        <w:t>1</w:t>
      </w:r>
      <w:r w:rsidR="00C0209D" w:rsidRPr="00332048">
        <w:rPr>
          <w:rFonts w:cs="Times New Roman" w:hint="cs"/>
          <w:b/>
          <w:bCs/>
          <w:i/>
          <w:iCs/>
          <w:sz w:val="18"/>
          <w:szCs w:val="18"/>
          <w:u w:val="single"/>
          <w:rtl/>
        </w:rPr>
        <w:t>33</w:t>
      </w:r>
      <w:r w:rsidR="006A480D" w:rsidRPr="00332048">
        <w:rPr>
          <w:rFonts w:cs="Times New Roman"/>
          <w:b/>
          <w:bCs/>
          <w:i/>
          <w:iCs/>
          <w:sz w:val="18"/>
          <w:szCs w:val="18"/>
          <w:u w:val="single"/>
        </w:rPr>
        <w:t>-</w:t>
      </w:r>
      <w:r w:rsidR="00DB6ADE" w:rsidRPr="00332048">
        <w:rPr>
          <w:rFonts w:cs="Times New Roman" w:hint="cs"/>
          <w:b/>
          <w:bCs/>
          <w:i/>
          <w:iCs/>
          <w:sz w:val="18"/>
          <w:szCs w:val="18"/>
          <w:u w:val="single"/>
          <w:rtl/>
        </w:rPr>
        <w:t>1</w:t>
      </w:r>
      <w:r w:rsidR="00C0209D" w:rsidRPr="00332048">
        <w:rPr>
          <w:rFonts w:cs="Times New Roman" w:hint="cs"/>
          <w:b/>
          <w:bCs/>
          <w:i/>
          <w:iCs/>
          <w:sz w:val="18"/>
          <w:szCs w:val="18"/>
          <w:u w:val="single"/>
          <w:rtl/>
        </w:rPr>
        <w:t>48</w:t>
      </w:r>
      <w:r w:rsidR="00D9796F" w:rsidRPr="00332048">
        <w:rPr>
          <w:rFonts w:cs="Times New Roman"/>
          <w:b/>
          <w:bCs/>
          <w:i/>
          <w:iCs/>
          <w:sz w:val="18"/>
          <w:szCs w:val="18"/>
          <w:u w:val="single"/>
        </w:rPr>
        <w:t>.</w:t>
      </w:r>
    </w:p>
    <w:p w:rsidR="009C673D" w:rsidRDefault="009C673D" w:rsidP="009C673D">
      <w:pPr>
        <w:pStyle w:val="ListParagraph"/>
        <w:bidi w:val="0"/>
        <w:ind w:left="0"/>
        <w:rPr>
          <w:sz w:val="20"/>
          <w:szCs w:val="16"/>
        </w:rPr>
      </w:pPr>
    </w:p>
    <w:p w:rsidR="00EE63BF" w:rsidRPr="00632B94" w:rsidRDefault="00EE63BF" w:rsidP="00332048">
      <w:pPr>
        <w:pStyle w:val="Title"/>
        <w:numPr>
          <w:ilvl w:val="0"/>
          <w:numId w:val="19"/>
        </w:numPr>
        <w:tabs>
          <w:tab w:val="right" w:pos="308"/>
        </w:tabs>
        <w:bidi w:val="0"/>
        <w:ind w:left="252" w:hanging="252"/>
        <w:jc w:val="left"/>
        <w:rPr>
          <w:rFonts w:cs="Traditional Arabic"/>
          <w:sz w:val="20"/>
          <w:szCs w:val="20"/>
        </w:rPr>
      </w:pPr>
      <w:r w:rsidRPr="00632B94">
        <w:rPr>
          <w:rFonts w:cs="Traditional Arabic"/>
          <w:sz w:val="20"/>
          <w:szCs w:val="20"/>
        </w:rPr>
        <w:t xml:space="preserve">Security and Justice                               </w:t>
      </w:r>
    </w:p>
    <w:p w:rsidR="00EE63BF" w:rsidRPr="00632B94" w:rsidRDefault="00EE63BF" w:rsidP="00332048">
      <w:pPr>
        <w:pStyle w:val="BodyText2"/>
        <w:numPr>
          <w:ilvl w:val="0"/>
          <w:numId w:val="2"/>
        </w:numPr>
        <w:overflowPunct/>
        <w:autoSpaceDE/>
        <w:autoSpaceDN/>
        <w:adjustRightInd/>
        <w:spacing w:after="120"/>
        <w:ind w:left="266" w:hanging="266"/>
        <w:textAlignment w:val="auto"/>
        <w:rPr>
          <w:noProof/>
        </w:rPr>
      </w:pPr>
      <w:r w:rsidRPr="00632B94">
        <w:rPr>
          <w:noProof/>
        </w:rPr>
        <w:t>Criminal offenses reported: There were 32,647 criminal offenses reported in 2017 in the West Bank.</w:t>
      </w:r>
    </w:p>
    <w:p w:rsidR="00EE63BF" w:rsidRPr="00632B94" w:rsidRDefault="00EE63BF"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criminal offenses reported in </w:t>
      </w:r>
      <w:r w:rsidR="004A4C84">
        <w:rPr>
          <w:noProof/>
        </w:rPr>
        <w:t xml:space="preserve">the </w:t>
      </w:r>
      <w:r w:rsidRPr="00632B94">
        <w:rPr>
          <w:noProof/>
        </w:rPr>
        <w:t>West Bank governorates in 2017 included assault (</w:t>
      </w:r>
      <w:r w:rsidRPr="00332048">
        <w:rPr>
          <w:noProof/>
        </w:rPr>
        <w:t>25.9</w:t>
      </w:r>
      <w:r w:rsidRPr="00332048">
        <w:rPr>
          <w:noProof/>
          <w:rtl/>
        </w:rPr>
        <w:t>%</w:t>
      </w:r>
      <w:r w:rsidRPr="00632B94">
        <w:rPr>
          <w:noProof/>
        </w:rPr>
        <w:t>), theft (</w:t>
      </w:r>
      <w:r w:rsidRPr="00332048">
        <w:rPr>
          <w:rFonts w:hint="cs"/>
          <w:noProof/>
          <w:rtl/>
        </w:rPr>
        <w:t>14.7</w:t>
      </w:r>
      <w:r w:rsidRPr="00332048">
        <w:rPr>
          <w:noProof/>
          <w:rtl/>
        </w:rPr>
        <w:t>%</w:t>
      </w:r>
      <w:r w:rsidRPr="00632B94">
        <w:rPr>
          <w:noProof/>
        </w:rPr>
        <w:t>), harming and immoral offenses (</w:t>
      </w:r>
      <w:r w:rsidRPr="00332048">
        <w:rPr>
          <w:noProof/>
        </w:rPr>
        <w:t>24.6</w:t>
      </w:r>
      <w:r w:rsidRPr="00332048">
        <w:rPr>
          <w:noProof/>
          <w:rtl/>
        </w:rPr>
        <w:t>%</w:t>
      </w:r>
      <w:r w:rsidRPr="00632B94">
        <w:rPr>
          <w:noProof/>
        </w:rPr>
        <w:t>), Forgery and Fraud (</w:t>
      </w:r>
      <w:r w:rsidRPr="00332048">
        <w:rPr>
          <w:noProof/>
        </w:rPr>
        <w:t>2.9</w:t>
      </w:r>
      <w:r w:rsidRPr="00332048">
        <w:rPr>
          <w:noProof/>
          <w:rtl/>
        </w:rPr>
        <w:t>%</w:t>
      </w:r>
      <w:r w:rsidRPr="00632B94">
        <w:rPr>
          <w:noProof/>
        </w:rPr>
        <w:t>), and the remainder were kidnapping, attempted kidnapping, threats, drugs and murder.</w:t>
      </w:r>
    </w:p>
    <w:p w:rsidR="00EE63BF" w:rsidRPr="00632B94" w:rsidRDefault="00EE63BF" w:rsidP="00EE63BF">
      <w:pPr>
        <w:jc w:val="center"/>
        <w:rPr>
          <w:b/>
          <w:bCs/>
          <w:sz w:val="10"/>
          <w:szCs w:val="10"/>
        </w:rPr>
      </w:pPr>
    </w:p>
    <w:p w:rsidR="00EE63BF" w:rsidRPr="00632B94" w:rsidRDefault="00EE63BF" w:rsidP="00EE63BF">
      <w:pPr>
        <w:jc w:val="center"/>
        <w:rPr>
          <w:b/>
          <w:bCs/>
          <w:sz w:val="18"/>
          <w:szCs w:val="18"/>
        </w:rPr>
      </w:pPr>
      <w:r w:rsidRPr="00632B94">
        <w:rPr>
          <w:b/>
          <w:bCs/>
          <w:sz w:val="18"/>
          <w:szCs w:val="18"/>
        </w:rPr>
        <w:t>Number of Reported Criminal Offenses in the West Bank* by Governorate, 2017</w:t>
      </w:r>
    </w:p>
    <w:p w:rsidR="00EE63BF" w:rsidRPr="00632B94" w:rsidRDefault="00EE63BF" w:rsidP="00EE63BF">
      <w:pPr>
        <w:jc w:val="center"/>
        <w:rPr>
          <w:b/>
          <w:bCs/>
          <w:sz w:val="10"/>
          <w:szCs w:val="10"/>
          <w:rtl/>
        </w:rPr>
      </w:pPr>
    </w:p>
    <w:p w:rsidR="00EE63BF" w:rsidRPr="00632B94" w:rsidRDefault="00EE63BF" w:rsidP="00EE63BF">
      <w:pPr>
        <w:pStyle w:val="BodyText2"/>
        <w:jc w:val="center"/>
        <w:rPr>
          <w:sz w:val="16"/>
          <w:szCs w:val="16"/>
          <w:rtl/>
        </w:rPr>
      </w:pPr>
      <w:r w:rsidRPr="00632B94">
        <w:rPr>
          <w:rFonts w:ascii="Simplified Arabic" w:hAnsi="Simplified Arabic"/>
          <w:b/>
          <w:bCs/>
          <w:noProof/>
          <w:sz w:val="18"/>
          <w:szCs w:val="18"/>
          <w:bdr w:val="single" w:sz="4" w:space="0" w:color="auto"/>
        </w:rPr>
        <w:drawing>
          <wp:inline distT="0" distB="0" distL="0" distR="0">
            <wp:extent cx="4711700" cy="1835150"/>
            <wp:effectExtent l="0" t="0" r="0" b="0"/>
            <wp:docPr id="1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E63BF" w:rsidRPr="003F41CF" w:rsidRDefault="00EE63BF" w:rsidP="003F41CF">
      <w:pPr>
        <w:tabs>
          <w:tab w:val="right" w:pos="70"/>
        </w:tabs>
        <w:ind w:left="98" w:right="112" w:firstLine="14"/>
        <w:jc w:val="lowKashida"/>
        <w:rPr>
          <w:sz w:val="14"/>
          <w:szCs w:val="14"/>
        </w:rPr>
      </w:pPr>
      <w:r w:rsidRPr="003F41CF">
        <w:rPr>
          <w:sz w:val="14"/>
          <w:szCs w:val="14"/>
        </w:rPr>
        <w:t>*</w:t>
      </w:r>
      <w:r w:rsidR="003F41CF" w:rsidRPr="003F41CF">
        <w:rPr>
          <w:rFonts w:ascii="Arial" w:hAnsi="Arial" w:cs="Arial"/>
          <w:sz w:val="14"/>
          <w:szCs w:val="14"/>
        </w:rPr>
        <w:t xml:space="preserve"> Data exclude those parts of Jerusalem which were annexed by Israel Occupation in 1967</w:t>
      </w:r>
      <w:r w:rsidRPr="003F41CF">
        <w:rPr>
          <w:sz w:val="14"/>
          <w:szCs w:val="14"/>
        </w:rPr>
        <w:t>.</w:t>
      </w:r>
    </w:p>
    <w:p w:rsidR="00EE63BF" w:rsidRDefault="00EE63BF" w:rsidP="00EE63BF">
      <w:pPr>
        <w:pStyle w:val="BodyText"/>
        <w:overflowPunct/>
        <w:autoSpaceDE/>
        <w:autoSpaceDN/>
        <w:adjustRightInd/>
        <w:ind w:left="360"/>
        <w:jc w:val="lowKashida"/>
        <w:textAlignment w:val="auto"/>
        <w:rPr>
          <w:rFonts w:cs="Times New Roman"/>
        </w:rPr>
      </w:pPr>
    </w:p>
    <w:p w:rsidR="00EE63BF" w:rsidRPr="00632B94" w:rsidRDefault="00EE63BF" w:rsidP="003F41CF">
      <w:pPr>
        <w:pStyle w:val="BodyText2"/>
        <w:numPr>
          <w:ilvl w:val="0"/>
          <w:numId w:val="2"/>
        </w:numPr>
        <w:overflowPunct/>
        <w:autoSpaceDE/>
        <w:autoSpaceDN/>
        <w:adjustRightInd/>
        <w:spacing w:after="120"/>
        <w:ind w:left="266" w:hanging="266"/>
        <w:textAlignment w:val="auto"/>
        <w:rPr>
          <w:noProof/>
        </w:rPr>
      </w:pPr>
      <w:r w:rsidRPr="00632B94">
        <w:rPr>
          <w:noProof/>
        </w:rPr>
        <w:t>Juvenile offenders: There were 1</w:t>
      </w:r>
      <w:r w:rsidR="003F41CF">
        <w:rPr>
          <w:noProof/>
        </w:rPr>
        <w:t>,</w:t>
      </w:r>
      <w:r w:rsidRPr="00632B94">
        <w:rPr>
          <w:noProof/>
        </w:rPr>
        <w:t xml:space="preserve">007 juvenile offenders admitted to reform institutions in Palestine in </w:t>
      </w:r>
      <w:r w:rsidR="00FE7598">
        <w:rPr>
          <w:noProof/>
        </w:rPr>
        <w:t>2016</w:t>
      </w:r>
      <w:r w:rsidRPr="00632B94">
        <w:rPr>
          <w:noProof/>
        </w:rPr>
        <w:t>; 222 in the West bank and 785 in Gaza Strip.  The criminal offenses committed by those juveniles comprised 294 cases of assault and quarrel, 431</w:t>
      </w:r>
      <w:r w:rsidRPr="00632B94">
        <w:rPr>
          <w:noProof/>
          <w:rtl/>
        </w:rPr>
        <w:t xml:space="preserve"> </w:t>
      </w:r>
      <w:r w:rsidRPr="00632B94">
        <w:rPr>
          <w:noProof/>
        </w:rPr>
        <w:t>cases of burglary and theft, and 99 cases of immoral offenses.</w:t>
      </w:r>
    </w:p>
    <w:p w:rsidR="00EE63BF" w:rsidRPr="00632B94" w:rsidRDefault="00EE63BF" w:rsidP="003F41CF">
      <w:pPr>
        <w:pStyle w:val="BodyText2"/>
        <w:numPr>
          <w:ilvl w:val="0"/>
          <w:numId w:val="2"/>
        </w:numPr>
        <w:overflowPunct/>
        <w:autoSpaceDE/>
        <w:autoSpaceDN/>
        <w:adjustRightInd/>
        <w:spacing w:after="120"/>
        <w:ind w:left="266" w:hanging="266"/>
        <w:textAlignment w:val="auto"/>
        <w:rPr>
          <w:noProof/>
        </w:rPr>
      </w:pPr>
      <w:r w:rsidRPr="00632B94">
        <w:rPr>
          <w:noProof/>
        </w:rPr>
        <w:t xml:space="preserve">Road traffic accidents: </w:t>
      </w:r>
      <w:r w:rsidR="003F41CF" w:rsidRPr="003F41CF">
        <w:rPr>
          <w:noProof/>
        </w:rPr>
        <w:t>Data exclude those parts of Jerusalem which were annexed by Israel Occupation in 1967</w:t>
      </w:r>
      <w:r w:rsidRPr="00632B94">
        <w:rPr>
          <w:noProof/>
        </w:rPr>
        <w:t xml:space="preserve">: There were 11,541 road traffic accidents in the West Bank </w:t>
      </w:r>
      <w:r w:rsidR="00E87E40">
        <w:rPr>
          <w:noProof/>
        </w:rPr>
        <w:t xml:space="preserve"> </w:t>
      </w:r>
      <w:r w:rsidRPr="00632B94">
        <w:rPr>
          <w:noProof/>
        </w:rPr>
        <w:t xml:space="preserve">in 2017. </w:t>
      </w:r>
    </w:p>
    <w:p w:rsidR="00EE63BF" w:rsidRPr="00632B94" w:rsidRDefault="00EE63BF" w:rsidP="00332048">
      <w:pPr>
        <w:pStyle w:val="BodyText2"/>
        <w:numPr>
          <w:ilvl w:val="0"/>
          <w:numId w:val="2"/>
        </w:numPr>
        <w:overflowPunct/>
        <w:autoSpaceDE/>
        <w:autoSpaceDN/>
        <w:adjustRightInd/>
        <w:spacing w:after="120"/>
        <w:ind w:left="266" w:hanging="266"/>
        <w:textAlignment w:val="auto"/>
        <w:rPr>
          <w:noProof/>
        </w:rPr>
      </w:pPr>
      <w:r w:rsidRPr="00632B94">
        <w:rPr>
          <w:noProof/>
        </w:rPr>
        <w:t>There were 9,316 injuries caused by road accidents as follows: 8,268 minor injuries, 772 moderate injuries, 168 serious injuries and 108 fatalities.</w:t>
      </w:r>
    </w:p>
    <w:p w:rsidR="00C0209D" w:rsidRPr="00332048" w:rsidRDefault="00EE63BF" w:rsidP="00EE63BF">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details on security and justice, see the tables in chapter 1.12 of the Arabic section, pages</w:t>
      </w:r>
      <w:r w:rsidRPr="00332048">
        <w:rPr>
          <w:rFonts w:cs="Times New Roman"/>
          <w:b/>
          <w:bCs/>
          <w:i/>
          <w:iCs/>
          <w:sz w:val="18"/>
          <w:szCs w:val="18"/>
          <w:u w:val="single"/>
          <w:rtl/>
        </w:rPr>
        <w:t xml:space="preserve"> </w:t>
      </w:r>
      <w:r w:rsidRPr="00332048">
        <w:rPr>
          <w:rFonts w:cs="Times New Roman"/>
          <w:b/>
          <w:bCs/>
          <w:i/>
          <w:iCs/>
          <w:sz w:val="18"/>
          <w:szCs w:val="18"/>
          <w:u w:val="single"/>
        </w:rPr>
        <w:t>149-154.</w:t>
      </w:r>
    </w:p>
    <w:p w:rsidR="00C0209D" w:rsidRPr="00632B94" w:rsidRDefault="00C0209D" w:rsidP="00C0209D">
      <w:pPr>
        <w:pStyle w:val="ListParagraph"/>
        <w:bidi w:val="0"/>
        <w:ind w:left="0"/>
        <w:rPr>
          <w:sz w:val="20"/>
          <w:szCs w:val="16"/>
        </w:rPr>
      </w:pPr>
    </w:p>
    <w:p w:rsidR="00020126" w:rsidRPr="00632B94" w:rsidRDefault="00020126" w:rsidP="00332048">
      <w:pPr>
        <w:pStyle w:val="Title"/>
        <w:numPr>
          <w:ilvl w:val="0"/>
          <w:numId w:val="19"/>
        </w:numPr>
        <w:tabs>
          <w:tab w:val="right" w:pos="308"/>
        </w:tabs>
        <w:bidi w:val="0"/>
        <w:ind w:left="252" w:hanging="252"/>
        <w:jc w:val="left"/>
        <w:rPr>
          <w:rFonts w:cs="Traditional Arabic"/>
          <w:sz w:val="20"/>
          <w:szCs w:val="20"/>
        </w:rPr>
      </w:pPr>
      <w:r w:rsidRPr="00632B94">
        <w:rPr>
          <w:rFonts w:cs="Traditional Arabic"/>
          <w:sz w:val="20"/>
          <w:szCs w:val="20"/>
        </w:rPr>
        <w:t xml:space="preserve">Environment and Natural Resources  </w:t>
      </w:r>
    </w:p>
    <w:p w:rsidR="00ED6F50" w:rsidRPr="00632B94" w:rsidRDefault="00ED6F50"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quantity of annual available water in </w:t>
      </w:r>
      <w:r w:rsidRPr="00632B94">
        <w:rPr>
          <w:noProof/>
          <w:rtl/>
        </w:rPr>
        <w:t>201</w:t>
      </w:r>
      <w:r w:rsidRPr="00632B94">
        <w:rPr>
          <w:noProof/>
        </w:rPr>
        <w:t xml:space="preserve">6 was </w:t>
      </w:r>
      <w:r w:rsidRPr="00632B94">
        <w:rPr>
          <w:noProof/>
          <w:rtl/>
        </w:rPr>
        <w:t>36</w:t>
      </w:r>
      <w:r w:rsidRPr="00632B94">
        <w:rPr>
          <w:noProof/>
        </w:rPr>
        <w:t>3.6 MCM, of which 251.6 MCM was pumped from ground water wells, 79.1 MCM was purchased from the Israeli Mekorot water company, and 29.0 MCM was discharged from water springs.</w:t>
      </w:r>
    </w:p>
    <w:p w:rsidR="00ED6F50" w:rsidRPr="00632B94" w:rsidRDefault="00ED6F50" w:rsidP="00332048">
      <w:pPr>
        <w:pStyle w:val="BodyText2"/>
        <w:numPr>
          <w:ilvl w:val="0"/>
          <w:numId w:val="2"/>
        </w:numPr>
        <w:overflowPunct/>
        <w:autoSpaceDE/>
        <w:autoSpaceDN/>
        <w:adjustRightInd/>
        <w:spacing w:after="120"/>
        <w:ind w:left="266" w:hanging="266"/>
        <w:textAlignment w:val="auto"/>
        <w:rPr>
          <w:noProof/>
        </w:rPr>
      </w:pPr>
      <w:r w:rsidRPr="00632B94">
        <w:rPr>
          <w:noProof/>
        </w:rPr>
        <w:t>The highest amount of annual rainfall in Hebron station was 356 (mm) in 2017.</w:t>
      </w:r>
    </w:p>
    <w:p w:rsidR="00EE63BF" w:rsidRDefault="00EE63BF">
      <w:pPr>
        <w:overflowPunct/>
        <w:autoSpaceDE/>
        <w:autoSpaceDN/>
        <w:adjustRightInd/>
        <w:textAlignment w:val="auto"/>
        <w:rPr>
          <w:b/>
          <w:bCs/>
          <w:sz w:val="18"/>
          <w:szCs w:val="18"/>
        </w:rPr>
      </w:pPr>
      <w:r>
        <w:rPr>
          <w:b/>
          <w:bCs/>
          <w:sz w:val="18"/>
          <w:szCs w:val="18"/>
        </w:rPr>
        <w:br w:type="page"/>
      </w:r>
    </w:p>
    <w:p w:rsidR="00ED6F50" w:rsidRPr="00632B94" w:rsidRDefault="00ED6F50" w:rsidP="00C0209D">
      <w:pPr>
        <w:overflowPunct/>
        <w:autoSpaceDE/>
        <w:autoSpaceDN/>
        <w:adjustRightInd/>
        <w:jc w:val="center"/>
        <w:textAlignment w:val="auto"/>
        <w:rPr>
          <w:b/>
          <w:bCs/>
          <w:sz w:val="18"/>
          <w:szCs w:val="18"/>
        </w:rPr>
      </w:pPr>
      <w:r w:rsidRPr="00632B94">
        <w:rPr>
          <w:b/>
          <w:bCs/>
          <w:sz w:val="18"/>
          <w:szCs w:val="18"/>
        </w:rPr>
        <w:t>Annual Rainfall Quantity</w:t>
      </w:r>
      <w:r w:rsidR="00FE7598">
        <w:rPr>
          <w:b/>
          <w:bCs/>
          <w:sz w:val="18"/>
          <w:szCs w:val="18"/>
        </w:rPr>
        <w:t xml:space="preserve"> </w:t>
      </w:r>
      <w:r w:rsidRPr="00632B94">
        <w:rPr>
          <w:b/>
          <w:bCs/>
          <w:sz w:val="18"/>
          <w:szCs w:val="18"/>
        </w:rPr>
        <w:t>(mm) in the West Bank by Station Location, 2017</w:t>
      </w:r>
    </w:p>
    <w:p w:rsidR="00ED6F50" w:rsidRPr="00632B94" w:rsidRDefault="00ED6F50" w:rsidP="00ED6F50">
      <w:pPr>
        <w:pStyle w:val="BodyText3"/>
        <w:jc w:val="center"/>
        <w:rPr>
          <w:rFonts w:ascii="Arial" w:hAnsi="Arial" w:cs="Arial"/>
          <w:sz w:val="10"/>
          <w:szCs w:val="10"/>
          <w:rtl/>
        </w:rPr>
      </w:pPr>
    </w:p>
    <w:tbl>
      <w:tblPr>
        <w:tblStyle w:val="TableGrid"/>
        <w:tblW w:w="0" w:type="auto"/>
        <w:jc w:val="center"/>
        <w:tblInd w:w="250" w:type="dxa"/>
        <w:tblLook w:val="04A0"/>
      </w:tblPr>
      <w:tblGrid>
        <w:gridCol w:w="7146"/>
      </w:tblGrid>
      <w:tr w:rsidR="00ED6F50" w:rsidRPr="00632B94" w:rsidTr="00513495">
        <w:trPr>
          <w:jc w:val="center"/>
        </w:trPr>
        <w:tc>
          <w:tcPr>
            <w:tcW w:w="6769" w:type="dxa"/>
          </w:tcPr>
          <w:p w:rsidR="00ED6F50" w:rsidRPr="00632B94" w:rsidRDefault="00ED6F50" w:rsidP="00513495">
            <w:pPr>
              <w:pStyle w:val="BodyText3"/>
              <w:jc w:val="center"/>
              <w:rPr>
                <w:rFonts w:asciiTheme="minorBidi" w:hAnsiTheme="minorBidi" w:cstheme="minorBidi"/>
                <w:sz w:val="16"/>
                <w:szCs w:val="14"/>
              </w:rPr>
            </w:pPr>
            <w:r w:rsidRPr="00632B94">
              <w:rPr>
                <w:rFonts w:asciiTheme="minorBidi" w:hAnsiTheme="minorBidi" w:cstheme="minorBidi"/>
                <w:noProof/>
                <w:sz w:val="16"/>
                <w:szCs w:val="14"/>
              </w:rPr>
              <w:drawing>
                <wp:inline distT="0" distB="0" distL="0" distR="0">
                  <wp:extent cx="4400550" cy="1911350"/>
                  <wp:effectExtent l="0" t="0" r="0" b="0"/>
                  <wp:docPr id="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D6F50" w:rsidRPr="00632B94" w:rsidRDefault="00ED6F50" w:rsidP="00ED6F50">
      <w:pPr>
        <w:pStyle w:val="BodyText2"/>
        <w:overflowPunct/>
        <w:autoSpaceDE/>
        <w:autoSpaceDN/>
        <w:adjustRightInd/>
        <w:spacing w:after="120"/>
        <w:ind w:left="142"/>
        <w:textAlignment w:val="auto"/>
        <w:rPr>
          <w:sz w:val="6"/>
          <w:szCs w:val="6"/>
        </w:rPr>
      </w:pPr>
    </w:p>
    <w:p w:rsidR="00ED6F50" w:rsidRPr="00632B94" w:rsidRDefault="00ED6F50" w:rsidP="00FE7598">
      <w:pPr>
        <w:pStyle w:val="BodyText2"/>
        <w:numPr>
          <w:ilvl w:val="0"/>
          <w:numId w:val="2"/>
        </w:numPr>
        <w:overflowPunct/>
        <w:autoSpaceDE/>
        <w:autoSpaceDN/>
        <w:adjustRightInd/>
        <w:spacing w:after="120"/>
        <w:ind w:left="266" w:hanging="266"/>
        <w:textAlignment w:val="auto"/>
        <w:rPr>
          <w:noProof/>
        </w:rPr>
      </w:pPr>
      <w:r w:rsidRPr="00632B94">
        <w:rPr>
          <w:noProof/>
        </w:rPr>
        <w:t xml:space="preserve">Around </w:t>
      </w:r>
      <w:r w:rsidR="00FE7598">
        <w:rPr>
          <w:noProof/>
        </w:rPr>
        <w:t>81.0</w:t>
      </w:r>
      <w:r w:rsidRPr="00632B94">
        <w:rPr>
          <w:noProof/>
        </w:rPr>
        <w:t xml:space="preserve">% of </w:t>
      </w:r>
      <w:r w:rsidR="00FE7598">
        <w:rPr>
          <w:noProof/>
        </w:rPr>
        <w:t>economic</w:t>
      </w:r>
      <w:r w:rsidRPr="00632B94">
        <w:rPr>
          <w:noProof/>
        </w:rPr>
        <w:t xml:space="preserve"> establishments in Palestine </w:t>
      </w:r>
      <w:r w:rsidR="00BA47F1">
        <w:rPr>
          <w:noProof/>
        </w:rPr>
        <w:t>were</w:t>
      </w:r>
      <w:r w:rsidR="00BA47F1" w:rsidRPr="00632B94">
        <w:rPr>
          <w:noProof/>
        </w:rPr>
        <w:t xml:space="preserve"> </w:t>
      </w:r>
      <w:r w:rsidRPr="00632B94">
        <w:rPr>
          <w:noProof/>
        </w:rPr>
        <w:t xml:space="preserve">supplied with water from a water network in 2016.  </w:t>
      </w:r>
    </w:p>
    <w:p w:rsidR="00ED6F50" w:rsidRPr="00332048" w:rsidRDefault="00ED6F50" w:rsidP="00FE7598">
      <w:pPr>
        <w:pStyle w:val="BodyText2"/>
        <w:numPr>
          <w:ilvl w:val="0"/>
          <w:numId w:val="2"/>
        </w:numPr>
        <w:overflowPunct/>
        <w:autoSpaceDE/>
        <w:autoSpaceDN/>
        <w:adjustRightInd/>
        <w:spacing w:after="120"/>
        <w:ind w:left="266" w:hanging="266"/>
        <w:textAlignment w:val="auto"/>
        <w:rPr>
          <w:noProof/>
        </w:rPr>
      </w:pPr>
      <w:r w:rsidRPr="00332048">
        <w:rPr>
          <w:noProof/>
        </w:rPr>
        <w:t xml:space="preserve">The results of Census 2017 showed that the piped into dwelling was the main source of drinking water for </w:t>
      </w:r>
      <w:r w:rsidR="00FE7598">
        <w:rPr>
          <w:noProof/>
        </w:rPr>
        <w:t>57.0</w:t>
      </w:r>
      <w:r w:rsidRPr="00332048">
        <w:rPr>
          <w:noProof/>
        </w:rPr>
        <w:t>% of household 37.</w:t>
      </w:r>
      <w:r w:rsidR="00FE7598">
        <w:rPr>
          <w:noProof/>
        </w:rPr>
        <w:t>2</w:t>
      </w:r>
      <w:r w:rsidRPr="00332048">
        <w:rPr>
          <w:noProof/>
        </w:rPr>
        <w:t>% use</w:t>
      </w:r>
      <w:r w:rsidR="00AA2056" w:rsidRPr="00332048">
        <w:rPr>
          <w:noProof/>
        </w:rPr>
        <w:t>d</w:t>
      </w:r>
      <w:r w:rsidRPr="00332048">
        <w:rPr>
          <w:noProof/>
        </w:rPr>
        <w:t xml:space="preserve"> Unprotected Dug Well/Unprotected Spring, Tanker Truck/Cart With Small Tank</w:t>
      </w:r>
      <w:r w:rsidR="00AA2056" w:rsidRPr="00332048">
        <w:rPr>
          <w:noProof/>
        </w:rPr>
        <w:t xml:space="preserve"> and </w:t>
      </w:r>
      <w:r w:rsidRPr="00332048">
        <w:rPr>
          <w:noProof/>
        </w:rPr>
        <w:t>Others</w:t>
      </w:r>
    </w:p>
    <w:p w:rsidR="00ED6F50" w:rsidRPr="00332048" w:rsidRDefault="00ED6F50" w:rsidP="00FE7598">
      <w:pPr>
        <w:pStyle w:val="BodyText2"/>
        <w:numPr>
          <w:ilvl w:val="0"/>
          <w:numId w:val="2"/>
        </w:numPr>
        <w:overflowPunct/>
        <w:autoSpaceDE/>
        <w:autoSpaceDN/>
        <w:adjustRightInd/>
        <w:spacing w:after="120"/>
        <w:ind w:left="266" w:hanging="266"/>
        <w:textAlignment w:val="auto"/>
        <w:rPr>
          <w:noProof/>
        </w:rPr>
      </w:pPr>
      <w:r w:rsidRPr="00332048">
        <w:rPr>
          <w:noProof/>
        </w:rPr>
        <w:t>Data of Census 2017 showed that 53.9% of households in Palestine use</w:t>
      </w:r>
      <w:r w:rsidR="00795E25" w:rsidRPr="00332048">
        <w:rPr>
          <w:noProof/>
        </w:rPr>
        <w:t>d</w:t>
      </w:r>
      <w:r w:rsidRPr="00332048">
        <w:rPr>
          <w:noProof/>
        </w:rPr>
        <w:t xml:space="preserve"> piped sewer system</w:t>
      </w:r>
      <w:r w:rsidR="00795E25" w:rsidRPr="00332048">
        <w:rPr>
          <w:noProof/>
        </w:rPr>
        <w:t xml:space="preserve"> </w:t>
      </w:r>
      <w:r w:rsidRPr="00332048">
        <w:rPr>
          <w:noProof/>
        </w:rPr>
        <w:t>(34.2% in the West Bank, 85.</w:t>
      </w:r>
      <w:r w:rsidR="00FE7598">
        <w:rPr>
          <w:noProof/>
        </w:rPr>
        <w:t>3</w:t>
      </w:r>
      <w:r w:rsidRPr="00332048">
        <w:rPr>
          <w:noProof/>
        </w:rPr>
        <w:t>% in Gaza Strip</w:t>
      </w:r>
      <w:r w:rsidR="00795E25" w:rsidRPr="00332048">
        <w:rPr>
          <w:noProof/>
        </w:rPr>
        <w:t>)</w:t>
      </w:r>
      <w:r w:rsidRPr="00332048">
        <w:rPr>
          <w:noProof/>
        </w:rPr>
        <w:t xml:space="preserve">, wile 33.6% of households in </w:t>
      </w:r>
      <w:r w:rsidR="00795E25" w:rsidRPr="00332048">
        <w:rPr>
          <w:noProof/>
        </w:rPr>
        <w:t xml:space="preserve">Palestine </w:t>
      </w:r>
      <w:r w:rsidRPr="00332048">
        <w:rPr>
          <w:noProof/>
        </w:rPr>
        <w:t>use</w:t>
      </w:r>
      <w:r w:rsidR="00795E25" w:rsidRPr="00332048">
        <w:rPr>
          <w:noProof/>
        </w:rPr>
        <w:t>d</w:t>
      </w:r>
      <w:r w:rsidRPr="00332048">
        <w:rPr>
          <w:noProof/>
        </w:rPr>
        <w:t xml:space="preserve"> </w:t>
      </w:r>
      <w:r w:rsidR="00FE7598">
        <w:rPr>
          <w:noProof/>
        </w:rPr>
        <w:t xml:space="preserve">septitight </w:t>
      </w:r>
      <w:r w:rsidRPr="00332048">
        <w:rPr>
          <w:noProof/>
        </w:rPr>
        <w:t xml:space="preserve">tank and 10.9% of </w:t>
      </w:r>
      <w:r w:rsidR="00795E25" w:rsidRPr="00332048">
        <w:rPr>
          <w:noProof/>
        </w:rPr>
        <w:t xml:space="preserve">households </w:t>
      </w:r>
      <w:r w:rsidRPr="00332048">
        <w:rPr>
          <w:noProof/>
        </w:rPr>
        <w:t>use</w:t>
      </w:r>
      <w:r w:rsidR="00795E25" w:rsidRPr="00332048">
        <w:rPr>
          <w:noProof/>
        </w:rPr>
        <w:t>d</w:t>
      </w:r>
      <w:r w:rsidRPr="00332048">
        <w:rPr>
          <w:noProof/>
        </w:rPr>
        <w:t xml:space="preserve"> tight tank </w:t>
      </w:r>
    </w:p>
    <w:p w:rsidR="00ED6F50" w:rsidRPr="00632B94" w:rsidRDefault="00ED6F50" w:rsidP="00FE7598">
      <w:pPr>
        <w:pStyle w:val="BodyText2"/>
        <w:numPr>
          <w:ilvl w:val="0"/>
          <w:numId w:val="2"/>
        </w:numPr>
        <w:overflowPunct/>
        <w:autoSpaceDE/>
        <w:autoSpaceDN/>
        <w:adjustRightInd/>
        <w:spacing w:after="120"/>
        <w:ind w:left="266" w:hanging="266"/>
        <w:textAlignment w:val="auto"/>
        <w:rPr>
          <w:noProof/>
        </w:rPr>
      </w:pPr>
      <w:r w:rsidRPr="00632B94">
        <w:rPr>
          <w:noProof/>
        </w:rPr>
        <w:t xml:space="preserve"> In </w:t>
      </w:r>
      <w:r w:rsidR="00FE7598">
        <w:rPr>
          <w:noProof/>
        </w:rPr>
        <w:t>2017</w:t>
      </w:r>
      <w:r w:rsidRPr="00632B94">
        <w:rPr>
          <w:noProof/>
        </w:rPr>
        <w:t xml:space="preserve">, </w:t>
      </w:r>
      <w:r w:rsidR="00FE7598">
        <w:rPr>
          <w:noProof/>
        </w:rPr>
        <w:t>96.2</w:t>
      </w:r>
      <w:r w:rsidRPr="00632B94">
        <w:rPr>
          <w:noProof/>
        </w:rPr>
        <w:t xml:space="preserve">% of households in Palestine </w:t>
      </w:r>
      <w:r w:rsidR="00FE7598">
        <w:rPr>
          <w:noProof/>
        </w:rPr>
        <w:t xml:space="preserve">throwing solid waste in nearest container </w:t>
      </w:r>
      <w:r w:rsidRPr="00632B94">
        <w:rPr>
          <w:noProof/>
        </w:rPr>
        <w:t>(</w:t>
      </w:r>
      <w:r w:rsidR="00FE7598">
        <w:rPr>
          <w:noProof/>
        </w:rPr>
        <w:t>94.6</w:t>
      </w:r>
      <w:r w:rsidRPr="00632B94">
        <w:rPr>
          <w:noProof/>
        </w:rPr>
        <w:t xml:space="preserve">% in the West Bank and </w:t>
      </w:r>
      <w:r w:rsidR="00FE7598">
        <w:rPr>
          <w:noProof/>
        </w:rPr>
        <w:t>98.7</w:t>
      </w:r>
      <w:r w:rsidRPr="00632B94">
        <w:rPr>
          <w:noProof/>
        </w:rPr>
        <w:t>% in Gaza Strip).</w:t>
      </w:r>
    </w:p>
    <w:p w:rsidR="009C673D" w:rsidRPr="00332048" w:rsidRDefault="009C673D" w:rsidP="00FA6A6A">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w:t>
      </w:r>
      <w:r w:rsidR="00654A09" w:rsidRPr="00332048">
        <w:rPr>
          <w:rFonts w:cs="Times New Roman"/>
          <w:b/>
          <w:bCs/>
          <w:i/>
          <w:iCs/>
          <w:sz w:val="18"/>
          <w:szCs w:val="18"/>
          <w:u w:val="single"/>
        </w:rPr>
        <w:t>s</w:t>
      </w:r>
      <w:r w:rsidRPr="00332048">
        <w:rPr>
          <w:rFonts w:cs="Times New Roman"/>
          <w:b/>
          <w:bCs/>
          <w:i/>
          <w:iCs/>
          <w:sz w:val="18"/>
          <w:szCs w:val="18"/>
          <w:u w:val="single"/>
        </w:rPr>
        <w:t xml:space="preserve"> </w:t>
      </w:r>
      <w:r w:rsidR="00FA6A6A" w:rsidRPr="00E126B8">
        <w:rPr>
          <w:rFonts w:cs="Times New Roman"/>
          <w:b/>
          <w:bCs/>
          <w:i/>
          <w:iCs/>
          <w:sz w:val="18"/>
          <w:szCs w:val="18"/>
          <w:u w:val="single"/>
        </w:rPr>
        <w:t xml:space="preserve">on </w:t>
      </w:r>
      <w:r w:rsidR="000D29C8" w:rsidRPr="00332048">
        <w:rPr>
          <w:rFonts w:cs="Times New Roman"/>
          <w:b/>
          <w:bCs/>
          <w:i/>
          <w:iCs/>
          <w:sz w:val="18"/>
          <w:szCs w:val="18"/>
          <w:u w:val="single"/>
        </w:rPr>
        <w:t>the</w:t>
      </w:r>
      <w:r w:rsidRPr="00332048">
        <w:rPr>
          <w:rFonts w:cs="Times New Roman"/>
          <w:b/>
          <w:bCs/>
          <w:i/>
          <w:iCs/>
          <w:sz w:val="18"/>
          <w:szCs w:val="18"/>
          <w:u w:val="single"/>
        </w:rPr>
        <w:t xml:space="preserve"> </w:t>
      </w:r>
      <w:r w:rsidR="000D29C8" w:rsidRPr="00332048">
        <w:rPr>
          <w:rFonts w:cs="Times New Roman"/>
          <w:b/>
          <w:bCs/>
          <w:i/>
          <w:iCs/>
          <w:sz w:val="18"/>
          <w:szCs w:val="18"/>
          <w:u w:val="single"/>
        </w:rPr>
        <w:t>e</w:t>
      </w:r>
      <w:r w:rsidRPr="00332048">
        <w:rPr>
          <w:rFonts w:cs="Times New Roman"/>
          <w:b/>
          <w:bCs/>
          <w:i/>
          <w:iCs/>
          <w:sz w:val="18"/>
          <w:szCs w:val="18"/>
          <w:u w:val="single"/>
        </w:rPr>
        <w:t>nvironment and</w:t>
      </w:r>
      <w:r w:rsidR="000D29C8" w:rsidRPr="00332048">
        <w:rPr>
          <w:rFonts w:cs="Times New Roman"/>
          <w:b/>
          <w:bCs/>
          <w:i/>
          <w:iCs/>
          <w:sz w:val="18"/>
          <w:szCs w:val="18"/>
          <w:u w:val="single"/>
        </w:rPr>
        <w:t xml:space="preserve"> n</w:t>
      </w:r>
      <w:r w:rsidRPr="00332048">
        <w:rPr>
          <w:rFonts w:cs="Times New Roman"/>
          <w:b/>
          <w:bCs/>
          <w:i/>
          <w:iCs/>
          <w:sz w:val="18"/>
          <w:szCs w:val="18"/>
          <w:u w:val="single"/>
        </w:rPr>
        <w:t xml:space="preserve">atural </w:t>
      </w:r>
      <w:r w:rsidR="000D29C8" w:rsidRPr="00332048">
        <w:rPr>
          <w:rFonts w:cs="Times New Roman"/>
          <w:b/>
          <w:bCs/>
          <w:i/>
          <w:iCs/>
          <w:sz w:val="18"/>
          <w:szCs w:val="18"/>
          <w:u w:val="single"/>
        </w:rPr>
        <w:t>r</w:t>
      </w:r>
      <w:r w:rsidRPr="00332048">
        <w:rPr>
          <w:rFonts w:cs="Times New Roman"/>
          <w:b/>
          <w:bCs/>
          <w:i/>
          <w:iCs/>
          <w:sz w:val="18"/>
          <w:szCs w:val="18"/>
          <w:u w:val="single"/>
        </w:rPr>
        <w:t>esources</w:t>
      </w:r>
      <w:r w:rsidR="000D29C8" w:rsidRPr="00332048">
        <w:rPr>
          <w:rFonts w:cs="Times New Roman"/>
          <w:b/>
          <w:bCs/>
          <w:i/>
          <w:iCs/>
          <w:sz w:val="18"/>
          <w:szCs w:val="18"/>
          <w:u w:val="single"/>
        </w:rPr>
        <w:t>,</w:t>
      </w:r>
      <w:r w:rsidRPr="00332048">
        <w:rPr>
          <w:rFonts w:cs="Times New Roman"/>
          <w:b/>
          <w:bCs/>
          <w:i/>
          <w:iCs/>
          <w:sz w:val="18"/>
          <w:szCs w:val="18"/>
          <w:u w:val="single"/>
        </w:rPr>
        <w:t xml:space="preserve"> </w:t>
      </w:r>
      <w:r w:rsidR="0037009A" w:rsidRPr="00332048">
        <w:rPr>
          <w:rFonts w:cs="Times New Roman"/>
          <w:b/>
          <w:bCs/>
          <w:i/>
          <w:iCs/>
          <w:sz w:val="18"/>
          <w:szCs w:val="18"/>
          <w:u w:val="single"/>
        </w:rPr>
        <w:t>see</w:t>
      </w:r>
      <w:r w:rsidR="000D29C8" w:rsidRPr="00332048">
        <w:rPr>
          <w:rFonts w:cs="Times New Roman"/>
          <w:b/>
          <w:bCs/>
          <w:i/>
          <w:iCs/>
          <w:sz w:val="18"/>
          <w:szCs w:val="18"/>
          <w:u w:val="single"/>
        </w:rPr>
        <w:t xml:space="preserve"> the</w:t>
      </w:r>
      <w:r w:rsidR="0037009A" w:rsidRPr="00332048">
        <w:rPr>
          <w:rFonts w:cs="Times New Roman"/>
          <w:b/>
          <w:bCs/>
          <w:i/>
          <w:iCs/>
          <w:sz w:val="18"/>
          <w:szCs w:val="18"/>
          <w:u w:val="single"/>
        </w:rPr>
        <w:t xml:space="preserve"> tables </w:t>
      </w:r>
      <w:r w:rsidRPr="00332048">
        <w:rPr>
          <w:rFonts w:cs="Times New Roman"/>
          <w:b/>
          <w:bCs/>
          <w:i/>
          <w:iCs/>
          <w:sz w:val="18"/>
          <w:szCs w:val="18"/>
          <w:u w:val="single"/>
        </w:rPr>
        <w:t>in chapter 1.</w:t>
      </w:r>
      <w:r w:rsidR="005846DD" w:rsidRPr="00332048">
        <w:rPr>
          <w:rFonts w:cs="Times New Roman"/>
          <w:b/>
          <w:bCs/>
          <w:i/>
          <w:iCs/>
          <w:sz w:val="18"/>
          <w:szCs w:val="18"/>
          <w:u w:val="single"/>
        </w:rPr>
        <w:t>1</w:t>
      </w:r>
      <w:r w:rsidR="00EE63BF" w:rsidRPr="00332048">
        <w:rPr>
          <w:rFonts w:cs="Times New Roman"/>
          <w:b/>
          <w:bCs/>
          <w:i/>
          <w:iCs/>
          <w:sz w:val="18"/>
          <w:szCs w:val="18"/>
          <w:u w:val="single"/>
        </w:rPr>
        <w:t>3</w:t>
      </w:r>
      <w:r w:rsidRPr="00332048">
        <w:rPr>
          <w:rFonts w:cs="Times New Roman"/>
          <w:b/>
          <w:bCs/>
          <w:i/>
          <w:iCs/>
          <w:sz w:val="18"/>
          <w:szCs w:val="18"/>
          <w:u w:val="single"/>
        </w:rPr>
        <w:t xml:space="preserve"> </w:t>
      </w:r>
      <w:r w:rsidR="000D29C8" w:rsidRPr="00332048">
        <w:rPr>
          <w:rFonts w:cs="Times New Roman"/>
          <w:b/>
          <w:bCs/>
          <w:i/>
          <w:iCs/>
          <w:sz w:val="18"/>
          <w:szCs w:val="18"/>
          <w:u w:val="single"/>
        </w:rPr>
        <w:t xml:space="preserve">of the </w:t>
      </w:r>
      <w:r w:rsidR="00654A09" w:rsidRPr="00332048">
        <w:rPr>
          <w:rFonts w:cs="Times New Roman"/>
          <w:b/>
          <w:bCs/>
          <w:i/>
          <w:iCs/>
          <w:sz w:val="18"/>
          <w:szCs w:val="18"/>
          <w:u w:val="single"/>
        </w:rPr>
        <w:t>Arabic</w:t>
      </w:r>
      <w:r w:rsidRPr="00332048">
        <w:rPr>
          <w:rFonts w:cs="Times New Roman"/>
          <w:b/>
          <w:bCs/>
          <w:i/>
          <w:iCs/>
          <w:sz w:val="18"/>
          <w:szCs w:val="18"/>
          <w:u w:val="single"/>
        </w:rPr>
        <w:t xml:space="preserve"> </w:t>
      </w:r>
      <w:r w:rsidR="000D29C8" w:rsidRPr="00332048">
        <w:rPr>
          <w:rFonts w:cs="Times New Roman"/>
          <w:b/>
          <w:bCs/>
          <w:i/>
          <w:iCs/>
          <w:sz w:val="18"/>
          <w:szCs w:val="18"/>
          <w:u w:val="single"/>
        </w:rPr>
        <w:t xml:space="preserve">section, </w:t>
      </w:r>
      <w:r w:rsidRPr="00332048">
        <w:rPr>
          <w:rFonts w:cs="Times New Roman"/>
          <w:b/>
          <w:bCs/>
          <w:i/>
          <w:iCs/>
          <w:sz w:val="18"/>
          <w:szCs w:val="18"/>
          <w:u w:val="single"/>
        </w:rPr>
        <w:t>page</w:t>
      </w:r>
      <w:r w:rsidR="000D29C8" w:rsidRPr="00332048">
        <w:rPr>
          <w:rFonts w:cs="Times New Roman"/>
          <w:b/>
          <w:bCs/>
          <w:i/>
          <w:iCs/>
          <w:sz w:val="18"/>
          <w:szCs w:val="18"/>
          <w:u w:val="single"/>
        </w:rPr>
        <w:t>s</w:t>
      </w:r>
      <w:r w:rsidR="006A480D" w:rsidRPr="00332048">
        <w:rPr>
          <w:rFonts w:cs="Times New Roman"/>
          <w:b/>
          <w:bCs/>
          <w:i/>
          <w:iCs/>
          <w:sz w:val="18"/>
          <w:szCs w:val="18"/>
          <w:u w:val="single"/>
        </w:rPr>
        <w:t xml:space="preserve"> </w:t>
      </w:r>
      <w:r w:rsidR="00EE63BF" w:rsidRPr="00332048">
        <w:rPr>
          <w:rFonts w:cs="Times New Roman"/>
          <w:b/>
          <w:bCs/>
          <w:i/>
          <w:iCs/>
          <w:sz w:val="18"/>
          <w:szCs w:val="18"/>
          <w:u w:val="single"/>
        </w:rPr>
        <w:t>155</w:t>
      </w:r>
      <w:r w:rsidR="003E7B2E" w:rsidRPr="00332048">
        <w:rPr>
          <w:rFonts w:cs="Times New Roman"/>
          <w:b/>
          <w:bCs/>
          <w:i/>
          <w:iCs/>
          <w:sz w:val="18"/>
          <w:szCs w:val="18"/>
          <w:u w:val="single"/>
        </w:rPr>
        <w:t>-</w:t>
      </w:r>
      <w:r w:rsidR="005846DD" w:rsidRPr="00332048">
        <w:rPr>
          <w:rFonts w:cs="Times New Roman"/>
          <w:b/>
          <w:bCs/>
          <w:i/>
          <w:iCs/>
          <w:sz w:val="18"/>
          <w:szCs w:val="18"/>
          <w:u w:val="single"/>
        </w:rPr>
        <w:t>1</w:t>
      </w:r>
      <w:r w:rsidR="00EE63BF" w:rsidRPr="00332048">
        <w:rPr>
          <w:rFonts w:cs="Times New Roman"/>
          <w:b/>
          <w:bCs/>
          <w:i/>
          <w:iCs/>
          <w:sz w:val="18"/>
          <w:szCs w:val="18"/>
          <w:u w:val="single"/>
        </w:rPr>
        <w:t>70</w:t>
      </w:r>
      <w:r w:rsidR="000D29C8" w:rsidRPr="00332048">
        <w:rPr>
          <w:rFonts w:cs="Times New Roman"/>
          <w:b/>
          <w:bCs/>
          <w:i/>
          <w:iCs/>
          <w:sz w:val="18"/>
          <w:szCs w:val="18"/>
          <w:u w:val="single"/>
        </w:rPr>
        <w:t>.</w:t>
      </w:r>
    </w:p>
    <w:p w:rsidR="006D7EB6" w:rsidRPr="00632B94" w:rsidRDefault="006D7EB6" w:rsidP="006D7EB6">
      <w:pPr>
        <w:pStyle w:val="Title"/>
        <w:tabs>
          <w:tab w:val="left" w:pos="851"/>
        </w:tabs>
        <w:bidi w:val="0"/>
        <w:jc w:val="left"/>
        <w:rPr>
          <w:rFonts w:cs="Times New Roman"/>
          <w:b w:val="0"/>
          <w:bCs w:val="0"/>
          <w:noProof w:val="0"/>
          <w:sz w:val="12"/>
          <w:szCs w:val="12"/>
        </w:rPr>
      </w:pPr>
    </w:p>
    <w:p w:rsidR="0024106F" w:rsidRPr="00632B94" w:rsidRDefault="0024106F" w:rsidP="0024106F">
      <w:pPr>
        <w:overflowPunct/>
        <w:autoSpaceDE/>
        <w:autoSpaceDN/>
        <w:adjustRightInd/>
        <w:textAlignment w:val="auto"/>
        <w:rPr>
          <w:rFonts w:cs="Traditional Arabic"/>
          <w:b/>
          <w:bCs/>
          <w:noProof/>
          <w:sz w:val="10"/>
          <w:szCs w:val="10"/>
        </w:rPr>
      </w:pPr>
    </w:p>
    <w:p w:rsidR="006868A7" w:rsidRPr="00632B94" w:rsidRDefault="006868A7">
      <w:pPr>
        <w:overflowPunct/>
        <w:autoSpaceDE/>
        <w:autoSpaceDN/>
        <w:adjustRightInd/>
        <w:textAlignment w:val="auto"/>
        <w:rPr>
          <w:rFonts w:cs="Traditional Arabic"/>
          <w:b/>
          <w:bCs/>
          <w:noProof/>
          <w:sz w:val="10"/>
          <w:szCs w:val="10"/>
        </w:rPr>
      </w:pPr>
    </w:p>
    <w:p w:rsidR="00B56D61" w:rsidRPr="00632B94" w:rsidRDefault="00B56D61" w:rsidP="00332048">
      <w:pPr>
        <w:pStyle w:val="Title"/>
        <w:numPr>
          <w:ilvl w:val="0"/>
          <w:numId w:val="19"/>
        </w:numPr>
        <w:tabs>
          <w:tab w:val="right" w:pos="308"/>
        </w:tabs>
        <w:bidi w:val="0"/>
        <w:ind w:left="252" w:hanging="252"/>
        <w:jc w:val="left"/>
        <w:rPr>
          <w:rFonts w:cs="Traditional Arabic"/>
          <w:sz w:val="20"/>
          <w:szCs w:val="20"/>
        </w:rPr>
      </w:pPr>
      <w:r w:rsidRPr="00632B94">
        <w:rPr>
          <w:rFonts w:cs="Traditional Arabic"/>
          <w:sz w:val="20"/>
          <w:szCs w:val="20"/>
        </w:rPr>
        <w:t>Establishment</w:t>
      </w:r>
      <w:r w:rsidR="00CC6ED1" w:rsidRPr="00632B94">
        <w:rPr>
          <w:rFonts w:cs="Traditional Arabic"/>
          <w:sz w:val="20"/>
          <w:szCs w:val="20"/>
        </w:rPr>
        <w:t>s</w:t>
      </w:r>
    </w:p>
    <w:p w:rsidR="00C9796D" w:rsidRPr="00632B94" w:rsidRDefault="00C9796D" w:rsidP="00332048">
      <w:pPr>
        <w:pStyle w:val="BodyText2"/>
        <w:numPr>
          <w:ilvl w:val="0"/>
          <w:numId w:val="2"/>
        </w:numPr>
        <w:overflowPunct/>
        <w:autoSpaceDE/>
        <w:autoSpaceDN/>
        <w:adjustRightInd/>
        <w:spacing w:after="120"/>
        <w:ind w:left="266" w:hanging="266"/>
        <w:textAlignment w:val="auto"/>
        <w:rPr>
          <w:noProof/>
        </w:rPr>
      </w:pPr>
      <w:r w:rsidRPr="00632B94">
        <w:rPr>
          <w:noProof/>
        </w:rPr>
        <w:t>In 201</w:t>
      </w:r>
      <w:r w:rsidRPr="00632B94">
        <w:rPr>
          <w:noProof/>
          <w:rtl/>
        </w:rPr>
        <w:t>7</w:t>
      </w:r>
      <w:r w:rsidR="00D32D72">
        <w:rPr>
          <w:noProof/>
        </w:rPr>
        <w:t>,</w:t>
      </w:r>
      <w:r w:rsidRPr="00632B94">
        <w:rPr>
          <w:noProof/>
        </w:rPr>
        <w:t xml:space="preserve"> establishments operating in the private sector, non-governmental organization sector and governmental companies in Palestine comprised 148,974 establishments: 101,517 establishments in the West Bank and 47,457 establishments in Gaza Strip. The number of employees in Palestine</w:t>
      </w:r>
      <w:r w:rsidR="00D32D72">
        <w:rPr>
          <w:noProof/>
        </w:rPr>
        <w:t>,</w:t>
      </w:r>
      <w:r w:rsidRPr="00632B94">
        <w:rPr>
          <w:noProof/>
        </w:rPr>
        <w:t xml:space="preserve"> in 201</w:t>
      </w:r>
      <w:r w:rsidRPr="00632B94">
        <w:rPr>
          <w:noProof/>
          <w:rtl/>
        </w:rPr>
        <w:t>7</w:t>
      </w:r>
      <w:r w:rsidR="00D32D72">
        <w:rPr>
          <w:noProof/>
        </w:rPr>
        <w:t>,</w:t>
      </w:r>
      <w:r w:rsidRPr="00632B94">
        <w:rPr>
          <w:noProof/>
        </w:rPr>
        <w:t xml:space="preserve"> was 444,086: 309,848 employees in the West Bank and 134,238 employees in Gaza Strip.</w:t>
      </w:r>
    </w:p>
    <w:p w:rsidR="00C9796D" w:rsidRPr="00632B94" w:rsidRDefault="00C9796D" w:rsidP="00332048">
      <w:pPr>
        <w:pStyle w:val="BodyText2"/>
        <w:numPr>
          <w:ilvl w:val="0"/>
          <w:numId w:val="2"/>
        </w:numPr>
        <w:overflowPunct/>
        <w:autoSpaceDE/>
        <w:autoSpaceDN/>
        <w:adjustRightInd/>
        <w:spacing w:after="120"/>
        <w:ind w:left="266" w:hanging="266"/>
        <w:textAlignment w:val="auto"/>
        <w:rPr>
          <w:noProof/>
        </w:rPr>
      </w:pPr>
      <w:r w:rsidRPr="00632B94">
        <w:rPr>
          <w:noProof/>
        </w:rPr>
        <w:t>The distribution of establishments operating in 201</w:t>
      </w:r>
      <w:r w:rsidRPr="00632B94">
        <w:rPr>
          <w:noProof/>
          <w:rtl/>
        </w:rPr>
        <w:t>7</w:t>
      </w:r>
      <w:r w:rsidRPr="00632B94">
        <w:rPr>
          <w:noProof/>
        </w:rPr>
        <w:t xml:space="preserve"> in Palestine in the private sector, non-governmental organization sector and governmental companies by economic activity showed that the activities of wholesale, retail trade and repairs came first with 81,203 establishments, manufacturing activities came in second place with 19,778 establishments, and establishments in other services activities totaled 13,697 establishments. The smallest number was in the activities of households as employers of undifferentiated goods and service-producing activities of households for own use with </w:t>
      </w:r>
      <w:r w:rsidRPr="00632B94">
        <w:rPr>
          <w:noProof/>
          <w:rtl/>
        </w:rPr>
        <w:t>5</w:t>
      </w:r>
      <w:r w:rsidRPr="00632B94">
        <w:rPr>
          <w:noProof/>
        </w:rPr>
        <w:t xml:space="preserve"> establishments.  </w:t>
      </w:r>
    </w:p>
    <w:p w:rsidR="00451E35" w:rsidRPr="00332048" w:rsidRDefault="00451E35" w:rsidP="00332048">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 xml:space="preserve">For more details on </w:t>
      </w:r>
      <w:r w:rsidR="00B12511" w:rsidRPr="00332048">
        <w:rPr>
          <w:rFonts w:cs="Times New Roman"/>
          <w:b/>
          <w:bCs/>
          <w:i/>
          <w:iCs/>
          <w:sz w:val="18"/>
          <w:szCs w:val="18"/>
          <w:u w:val="single"/>
        </w:rPr>
        <w:t>e</w:t>
      </w:r>
      <w:r w:rsidRPr="00332048">
        <w:rPr>
          <w:rFonts w:cs="Times New Roman"/>
          <w:b/>
          <w:bCs/>
          <w:i/>
          <w:iCs/>
          <w:sz w:val="18"/>
          <w:szCs w:val="18"/>
          <w:u w:val="single"/>
        </w:rPr>
        <w:t>stablishment</w:t>
      </w:r>
      <w:r w:rsidR="00B12511" w:rsidRPr="00332048">
        <w:rPr>
          <w:rFonts w:cs="Times New Roman"/>
          <w:b/>
          <w:bCs/>
          <w:i/>
          <w:iCs/>
          <w:sz w:val="18"/>
          <w:szCs w:val="18"/>
          <w:u w:val="single"/>
        </w:rPr>
        <w:t>s</w:t>
      </w:r>
      <w:r w:rsidRPr="00332048">
        <w:rPr>
          <w:rFonts w:cs="Times New Roman"/>
          <w:b/>
          <w:bCs/>
          <w:i/>
          <w:iCs/>
          <w:sz w:val="18"/>
          <w:szCs w:val="18"/>
          <w:u w:val="single"/>
        </w:rPr>
        <w:t>, see the tables in chapter 1.1</w:t>
      </w:r>
      <w:r w:rsidR="00EE63BF" w:rsidRPr="00332048">
        <w:rPr>
          <w:rFonts w:cs="Times New Roman"/>
          <w:b/>
          <w:bCs/>
          <w:i/>
          <w:iCs/>
          <w:sz w:val="18"/>
          <w:szCs w:val="18"/>
          <w:u w:val="single"/>
        </w:rPr>
        <w:t>4</w:t>
      </w:r>
      <w:r w:rsidRPr="00332048">
        <w:rPr>
          <w:rFonts w:cs="Times New Roman"/>
          <w:b/>
          <w:bCs/>
          <w:i/>
          <w:iCs/>
          <w:sz w:val="18"/>
          <w:szCs w:val="18"/>
          <w:u w:val="single"/>
        </w:rPr>
        <w:t xml:space="preserve"> of the Arabic section, pages</w:t>
      </w:r>
      <w:r w:rsidRPr="00332048">
        <w:rPr>
          <w:rFonts w:cs="Times New Roman"/>
          <w:b/>
          <w:bCs/>
          <w:i/>
          <w:iCs/>
          <w:sz w:val="18"/>
          <w:szCs w:val="18"/>
          <w:u w:val="single"/>
          <w:rtl/>
        </w:rPr>
        <w:t xml:space="preserve"> </w:t>
      </w:r>
      <w:r w:rsidR="0067374A" w:rsidRPr="00332048">
        <w:rPr>
          <w:rFonts w:cs="Times New Roman"/>
          <w:b/>
          <w:bCs/>
          <w:i/>
          <w:iCs/>
          <w:sz w:val="18"/>
          <w:szCs w:val="18"/>
          <w:u w:val="single"/>
        </w:rPr>
        <w:t>1</w:t>
      </w:r>
      <w:r w:rsidR="00EE63BF" w:rsidRPr="00332048">
        <w:rPr>
          <w:rFonts w:cs="Times New Roman"/>
          <w:b/>
          <w:bCs/>
          <w:i/>
          <w:iCs/>
          <w:sz w:val="18"/>
          <w:szCs w:val="18"/>
          <w:u w:val="single"/>
        </w:rPr>
        <w:t>71</w:t>
      </w:r>
      <w:r w:rsidRPr="00332048">
        <w:rPr>
          <w:rFonts w:cs="Times New Roman"/>
          <w:b/>
          <w:bCs/>
          <w:i/>
          <w:iCs/>
          <w:sz w:val="18"/>
          <w:szCs w:val="18"/>
          <w:u w:val="single"/>
        </w:rPr>
        <w:t>-</w:t>
      </w:r>
      <w:r w:rsidR="0067374A" w:rsidRPr="00332048">
        <w:rPr>
          <w:rFonts w:cs="Times New Roman"/>
          <w:b/>
          <w:bCs/>
          <w:i/>
          <w:iCs/>
          <w:sz w:val="18"/>
          <w:szCs w:val="18"/>
          <w:u w:val="single"/>
        </w:rPr>
        <w:t>17</w:t>
      </w:r>
      <w:r w:rsidR="00EE63BF" w:rsidRPr="00332048">
        <w:rPr>
          <w:rFonts w:cs="Times New Roman"/>
          <w:b/>
          <w:bCs/>
          <w:i/>
          <w:iCs/>
          <w:sz w:val="18"/>
          <w:szCs w:val="18"/>
          <w:u w:val="single"/>
        </w:rPr>
        <w:t>6</w:t>
      </w:r>
      <w:r w:rsidRPr="00332048">
        <w:rPr>
          <w:rFonts w:cs="Times New Roman"/>
          <w:b/>
          <w:bCs/>
          <w:i/>
          <w:iCs/>
          <w:sz w:val="18"/>
          <w:szCs w:val="18"/>
          <w:u w:val="single"/>
        </w:rPr>
        <w:t>.</w:t>
      </w:r>
    </w:p>
    <w:p w:rsidR="00E619C1" w:rsidRPr="00632B94" w:rsidRDefault="00E619C1" w:rsidP="00E619C1">
      <w:pPr>
        <w:pStyle w:val="Title"/>
        <w:bidi w:val="0"/>
        <w:jc w:val="left"/>
        <w:rPr>
          <w:rFonts w:cs="Times New Roman"/>
          <w:b w:val="0"/>
          <w:bCs w:val="0"/>
          <w:i/>
          <w:iCs/>
          <w:noProof w:val="0"/>
          <w:sz w:val="20"/>
          <w:szCs w:val="20"/>
          <w:u w:val="single"/>
        </w:rPr>
      </w:pPr>
    </w:p>
    <w:p w:rsidR="00020126" w:rsidRPr="00632B94" w:rsidRDefault="00020126" w:rsidP="00332048">
      <w:pPr>
        <w:pStyle w:val="Title"/>
        <w:numPr>
          <w:ilvl w:val="0"/>
          <w:numId w:val="19"/>
        </w:numPr>
        <w:tabs>
          <w:tab w:val="right" w:pos="308"/>
        </w:tabs>
        <w:bidi w:val="0"/>
        <w:ind w:left="252" w:hanging="252"/>
        <w:jc w:val="left"/>
        <w:rPr>
          <w:rFonts w:cs="Traditional Arabic"/>
          <w:sz w:val="20"/>
          <w:szCs w:val="20"/>
        </w:rPr>
      </w:pPr>
      <w:r w:rsidRPr="00632B94">
        <w:rPr>
          <w:rFonts w:cs="Traditional Arabic"/>
          <w:sz w:val="20"/>
          <w:szCs w:val="20"/>
        </w:rPr>
        <w:t>National Accounts</w:t>
      </w:r>
    </w:p>
    <w:p w:rsidR="00DA0A97" w:rsidRPr="00632B94" w:rsidRDefault="00DA0A97" w:rsidP="00332048">
      <w:pPr>
        <w:pStyle w:val="BodyText2"/>
        <w:numPr>
          <w:ilvl w:val="0"/>
          <w:numId w:val="2"/>
        </w:numPr>
        <w:overflowPunct/>
        <w:autoSpaceDE/>
        <w:autoSpaceDN/>
        <w:adjustRightInd/>
        <w:spacing w:after="120"/>
        <w:ind w:left="266" w:hanging="266"/>
        <w:textAlignment w:val="auto"/>
        <w:rPr>
          <w:noProof/>
        </w:rPr>
      </w:pPr>
      <w:r w:rsidRPr="00632B94">
        <w:rPr>
          <w:noProof/>
        </w:rPr>
        <w:t>The value of the Gross Domestic Product in 2017</w:t>
      </w:r>
      <w:r w:rsidR="003D79DE">
        <w:rPr>
          <w:noProof/>
        </w:rPr>
        <w:t xml:space="preserve"> in palestine</w:t>
      </w:r>
      <w:r w:rsidRPr="00632B94">
        <w:rPr>
          <w:noProof/>
        </w:rPr>
        <w:t xml:space="preserve"> at Constant Prices was USD </w:t>
      </w:r>
      <w:r w:rsidRPr="00332048">
        <w:rPr>
          <w:noProof/>
          <w:rtl/>
        </w:rPr>
        <w:t>13</w:t>
      </w:r>
      <w:r w:rsidRPr="00332048">
        <w:rPr>
          <w:rFonts w:hint="cs"/>
          <w:noProof/>
          <w:rtl/>
        </w:rPr>
        <w:t>,</w:t>
      </w:r>
      <w:r w:rsidRPr="00332048">
        <w:rPr>
          <w:noProof/>
          <w:rtl/>
        </w:rPr>
        <w:t>686.4</w:t>
      </w:r>
      <w:r w:rsidRPr="00632B94">
        <w:rPr>
          <w:noProof/>
        </w:rPr>
        <w:t xml:space="preserve"> million, with an increase of </w:t>
      </w:r>
      <w:r w:rsidRPr="00632B94">
        <w:rPr>
          <w:rFonts w:hint="cs"/>
          <w:noProof/>
          <w:rtl/>
        </w:rPr>
        <w:t>3.1</w:t>
      </w:r>
      <w:r w:rsidRPr="00632B94">
        <w:rPr>
          <w:noProof/>
        </w:rPr>
        <w:t>% compared with 2016.</w:t>
      </w:r>
    </w:p>
    <w:p w:rsidR="00DA0A97" w:rsidRPr="00632B94" w:rsidRDefault="00DA0A97"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GDP per capita at Constant Prices was USD </w:t>
      </w:r>
      <w:r w:rsidRPr="00332048">
        <w:rPr>
          <w:noProof/>
        </w:rPr>
        <w:t>3,072.4</w:t>
      </w:r>
      <w:r w:rsidRPr="00632B94">
        <w:rPr>
          <w:noProof/>
        </w:rPr>
        <w:t xml:space="preserve"> in 2017, an increase of 0.9% compared with 2016.</w:t>
      </w:r>
    </w:p>
    <w:p w:rsidR="00DA0A97" w:rsidRPr="00632B94" w:rsidRDefault="00DA0A97"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Gross national income totaled USD </w:t>
      </w:r>
      <w:r w:rsidRPr="00332048">
        <w:rPr>
          <w:noProof/>
          <w:rtl/>
        </w:rPr>
        <w:t>15</w:t>
      </w:r>
      <w:r w:rsidRPr="00332048">
        <w:rPr>
          <w:rFonts w:hint="cs"/>
          <w:noProof/>
          <w:rtl/>
        </w:rPr>
        <w:t>,</w:t>
      </w:r>
      <w:r w:rsidRPr="00332048">
        <w:rPr>
          <w:noProof/>
          <w:rtl/>
        </w:rPr>
        <w:t>283.5</w:t>
      </w:r>
      <w:r w:rsidRPr="00632B94">
        <w:rPr>
          <w:noProof/>
        </w:rPr>
        <w:t xml:space="preserve"> million in 2017</w:t>
      </w:r>
      <w:r w:rsidR="003D79DE" w:rsidRPr="003D79DE">
        <w:rPr>
          <w:noProof/>
        </w:rPr>
        <w:t xml:space="preserve"> at Constant Prices</w:t>
      </w:r>
      <w:r w:rsidRPr="00632B94">
        <w:rPr>
          <w:noProof/>
        </w:rPr>
        <w:t xml:space="preserve">, GNI per capita was USD </w:t>
      </w:r>
      <w:r w:rsidRPr="00332048">
        <w:rPr>
          <w:noProof/>
        </w:rPr>
        <w:t>3,430.9</w:t>
      </w:r>
      <w:r w:rsidRPr="00632B94">
        <w:rPr>
          <w:noProof/>
        </w:rPr>
        <w:t xml:space="preserve"> in the same year.</w:t>
      </w:r>
    </w:p>
    <w:p w:rsidR="00DA0A97" w:rsidRPr="00632B94" w:rsidRDefault="00DA0A97"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Gross disposable income totaled USD </w:t>
      </w:r>
      <w:r w:rsidRPr="00332048">
        <w:rPr>
          <w:noProof/>
          <w:rtl/>
        </w:rPr>
        <w:t>16</w:t>
      </w:r>
      <w:r w:rsidRPr="00332048">
        <w:rPr>
          <w:rFonts w:hint="cs"/>
          <w:noProof/>
          <w:rtl/>
        </w:rPr>
        <w:t>,</w:t>
      </w:r>
      <w:r w:rsidRPr="00332048">
        <w:rPr>
          <w:noProof/>
          <w:rtl/>
        </w:rPr>
        <w:t>973.3</w:t>
      </w:r>
      <w:r w:rsidRPr="00632B94">
        <w:rPr>
          <w:noProof/>
        </w:rPr>
        <w:t xml:space="preserve"> million in 2017</w:t>
      </w:r>
      <w:r w:rsidR="003D79DE" w:rsidRPr="003D79DE">
        <w:rPr>
          <w:noProof/>
        </w:rPr>
        <w:t xml:space="preserve"> at Constant Prices</w:t>
      </w:r>
      <w:r w:rsidRPr="00632B94">
        <w:rPr>
          <w:noProof/>
        </w:rPr>
        <w:t>, G</w:t>
      </w:r>
      <w:r w:rsidR="0083614A">
        <w:rPr>
          <w:noProof/>
        </w:rPr>
        <w:t>N</w:t>
      </w:r>
      <w:r w:rsidRPr="00632B94">
        <w:rPr>
          <w:noProof/>
        </w:rPr>
        <w:t xml:space="preserve">DI per capita was USD </w:t>
      </w:r>
      <w:r w:rsidRPr="00332048">
        <w:rPr>
          <w:noProof/>
        </w:rPr>
        <w:t>3,810.3</w:t>
      </w:r>
      <w:r w:rsidRPr="00632B94">
        <w:rPr>
          <w:rFonts w:hint="cs"/>
          <w:noProof/>
          <w:rtl/>
        </w:rPr>
        <w:t xml:space="preserve"> </w:t>
      </w:r>
      <w:r w:rsidRPr="00632B94">
        <w:rPr>
          <w:noProof/>
        </w:rPr>
        <w:t>in 2017.</w:t>
      </w:r>
    </w:p>
    <w:p w:rsidR="00950832" w:rsidRPr="003D79DE" w:rsidRDefault="00950832">
      <w:pPr>
        <w:overflowPunct/>
        <w:autoSpaceDE/>
        <w:autoSpaceDN/>
        <w:adjustRightInd/>
        <w:textAlignment w:val="auto"/>
        <w:rPr>
          <w:noProof/>
        </w:rPr>
      </w:pPr>
    </w:p>
    <w:p w:rsidR="00DA0A97" w:rsidRPr="00632B94" w:rsidRDefault="00DA0A97" w:rsidP="00DA0A97">
      <w:pPr>
        <w:ind w:left="360"/>
        <w:jc w:val="center"/>
        <w:rPr>
          <w:rFonts w:cs="Traditional Arabic"/>
          <w:b/>
          <w:bCs/>
        </w:rPr>
      </w:pPr>
      <w:r w:rsidRPr="00632B94">
        <w:rPr>
          <w:rFonts w:cs="Traditional Arabic"/>
          <w:b/>
          <w:bCs/>
        </w:rPr>
        <w:t>Gross Domestic Product (GDP) in Palestine at Constant Prices by Region</w:t>
      </w:r>
    </w:p>
    <w:p w:rsidR="00DA0A97" w:rsidRPr="00632B94" w:rsidRDefault="00DA0A97" w:rsidP="00DA0A97">
      <w:pPr>
        <w:ind w:left="360"/>
        <w:jc w:val="center"/>
        <w:rPr>
          <w:rFonts w:cs="Traditional Arabic"/>
          <w:b/>
          <w:bCs/>
        </w:rPr>
      </w:pPr>
      <w:r w:rsidRPr="00632B94">
        <w:rPr>
          <w:rFonts w:cs="Traditional Arabic"/>
          <w:b/>
          <w:bCs/>
        </w:rPr>
        <w:t>(Value in USD Billion), 2015-2017</w:t>
      </w:r>
    </w:p>
    <w:p w:rsidR="00DA0A97" w:rsidRPr="00632B94" w:rsidRDefault="00DA0A97" w:rsidP="00DA0A97">
      <w:pPr>
        <w:ind w:left="360"/>
        <w:jc w:val="center"/>
        <w:rPr>
          <w:rFonts w:cs="Traditional Arabic"/>
          <w:b/>
          <w:bCs/>
          <w:sz w:val="10"/>
          <w:szCs w:val="10"/>
        </w:rPr>
      </w:pPr>
    </w:p>
    <w:p w:rsidR="00DA0A97" w:rsidRPr="00632B94" w:rsidRDefault="00DA0A97" w:rsidP="00DA0A97">
      <w:pPr>
        <w:pStyle w:val="ListParagraph"/>
        <w:bidi w:val="0"/>
        <w:ind w:left="0"/>
        <w:jc w:val="center"/>
        <w:rPr>
          <w:rFonts w:cs="Traditional Arabic"/>
          <w:noProof w:val="0"/>
          <w:sz w:val="20"/>
        </w:rPr>
      </w:pPr>
      <w:r w:rsidRPr="00632B94">
        <w:rPr>
          <w:rFonts w:cs="Traditional Arabic"/>
          <w:sz w:val="20"/>
        </w:rPr>
        <w:drawing>
          <wp:inline distT="0" distB="0" distL="0" distR="0">
            <wp:extent cx="4476750" cy="1765300"/>
            <wp:effectExtent l="19050" t="0" r="19050" b="6350"/>
            <wp:docPr id="1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83614A" w:rsidRDefault="0083614A" w:rsidP="0083614A">
      <w:pPr>
        <w:pStyle w:val="ListParagraph"/>
        <w:bidi w:val="0"/>
        <w:ind w:left="0"/>
        <w:jc w:val="lowKashida"/>
        <w:rPr>
          <w:rFonts w:cs="Times New Roman"/>
          <w:b/>
          <w:bCs/>
          <w:i/>
          <w:iCs/>
          <w:sz w:val="18"/>
          <w:szCs w:val="18"/>
          <w:u w:val="single"/>
        </w:rPr>
      </w:pPr>
      <w:r>
        <w:rPr>
          <w:rFonts w:ascii="Arial" w:hAnsi="Arial"/>
          <w:snapToGrid w:val="0"/>
          <w:sz w:val="16"/>
          <w:szCs w:val="16"/>
        </w:rPr>
        <w:t xml:space="preserve">     </w:t>
      </w:r>
      <w:r w:rsidRPr="003216CE">
        <w:rPr>
          <w:rFonts w:ascii="Arial" w:hAnsi="Arial"/>
          <w:snapToGrid w:val="0"/>
          <w:sz w:val="16"/>
          <w:szCs w:val="16"/>
        </w:rPr>
        <w:t>Note: 2015 is the base year for period 2015-2017</w:t>
      </w:r>
    </w:p>
    <w:p w:rsidR="005D58E5" w:rsidRPr="00332048" w:rsidRDefault="005D58E5" w:rsidP="0083614A">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 xml:space="preserve">For more details on </w:t>
      </w:r>
      <w:r w:rsidR="001D3101">
        <w:rPr>
          <w:rFonts w:cs="Times New Roman"/>
          <w:b/>
          <w:bCs/>
          <w:i/>
          <w:iCs/>
          <w:sz w:val="18"/>
          <w:szCs w:val="18"/>
          <w:u w:val="single"/>
        </w:rPr>
        <w:t>n</w:t>
      </w:r>
      <w:r w:rsidRPr="00332048">
        <w:rPr>
          <w:rFonts w:cs="Times New Roman"/>
          <w:b/>
          <w:bCs/>
          <w:i/>
          <w:iCs/>
          <w:sz w:val="18"/>
          <w:szCs w:val="18"/>
          <w:u w:val="single"/>
        </w:rPr>
        <w:t xml:space="preserve">ational </w:t>
      </w:r>
      <w:r w:rsidR="001D3101">
        <w:rPr>
          <w:rFonts w:cs="Times New Roman"/>
          <w:b/>
          <w:bCs/>
          <w:i/>
          <w:iCs/>
          <w:sz w:val="18"/>
          <w:szCs w:val="18"/>
          <w:u w:val="single"/>
        </w:rPr>
        <w:t>a</w:t>
      </w:r>
      <w:r w:rsidRPr="00332048">
        <w:rPr>
          <w:rFonts w:cs="Times New Roman"/>
          <w:b/>
          <w:bCs/>
          <w:i/>
          <w:iCs/>
          <w:sz w:val="18"/>
          <w:szCs w:val="18"/>
          <w:u w:val="single"/>
        </w:rPr>
        <w:t>ccounts, see the tables in chapter 1.1</w:t>
      </w:r>
      <w:r w:rsidR="00EE63BF" w:rsidRPr="00332048">
        <w:rPr>
          <w:rFonts w:cs="Times New Roman"/>
          <w:b/>
          <w:bCs/>
          <w:i/>
          <w:iCs/>
          <w:sz w:val="18"/>
          <w:szCs w:val="18"/>
          <w:u w:val="single"/>
        </w:rPr>
        <w:t>5</w:t>
      </w:r>
      <w:r w:rsidRPr="00332048">
        <w:rPr>
          <w:rFonts w:cs="Times New Roman"/>
          <w:b/>
          <w:bCs/>
          <w:i/>
          <w:iCs/>
          <w:sz w:val="18"/>
          <w:szCs w:val="18"/>
          <w:u w:val="single"/>
        </w:rPr>
        <w:t xml:space="preserve"> of the Arabic section, pages </w:t>
      </w:r>
      <w:r w:rsidR="00683FFC" w:rsidRPr="00332048">
        <w:rPr>
          <w:rFonts w:cs="Times New Roman"/>
          <w:b/>
          <w:bCs/>
          <w:i/>
          <w:iCs/>
          <w:sz w:val="18"/>
          <w:szCs w:val="18"/>
          <w:u w:val="single"/>
        </w:rPr>
        <w:t>17</w:t>
      </w:r>
      <w:r w:rsidR="00EE63BF" w:rsidRPr="00332048">
        <w:rPr>
          <w:rFonts w:cs="Times New Roman"/>
          <w:b/>
          <w:bCs/>
          <w:i/>
          <w:iCs/>
          <w:sz w:val="18"/>
          <w:szCs w:val="18"/>
          <w:u w:val="single"/>
        </w:rPr>
        <w:t>7</w:t>
      </w:r>
      <w:r w:rsidRPr="00332048">
        <w:rPr>
          <w:rFonts w:cs="Times New Roman"/>
          <w:b/>
          <w:bCs/>
          <w:i/>
          <w:iCs/>
          <w:sz w:val="18"/>
          <w:szCs w:val="18"/>
          <w:u w:val="single"/>
        </w:rPr>
        <w:t>-</w:t>
      </w:r>
      <w:r w:rsidR="00683FFC" w:rsidRPr="00332048">
        <w:rPr>
          <w:rFonts w:cs="Times New Roman"/>
          <w:b/>
          <w:bCs/>
          <w:i/>
          <w:iCs/>
          <w:sz w:val="18"/>
          <w:szCs w:val="18"/>
          <w:u w:val="single"/>
        </w:rPr>
        <w:t>18</w:t>
      </w:r>
      <w:r w:rsidR="00EE63BF" w:rsidRPr="00332048">
        <w:rPr>
          <w:rFonts w:cs="Times New Roman"/>
          <w:b/>
          <w:bCs/>
          <w:i/>
          <w:iCs/>
          <w:sz w:val="18"/>
          <w:szCs w:val="18"/>
          <w:u w:val="single"/>
        </w:rPr>
        <w:t>4</w:t>
      </w:r>
      <w:r w:rsidRPr="00332048">
        <w:rPr>
          <w:rFonts w:cs="Times New Roman"/>
          <w:b/>
          <w:bCs/>
          <w:i/>
          <w:iCs/>
          <w:sz w:val="18"/>
          <w:szCs w:val="18"/>
          <w:u w:val="single"/>
        </w:rPr>
        <w:t>.</w:t>
      </w:r>
    </w:p>
    <w:p w:rsidR="00DE12F8" w:rsidRPr="00632B94" w:rsidRDefault="00DE12F8" w:rsidP="00DE12F8">
      <w:pPr>
        <w:pStyle w:val="ListParagraph"/>
        <w:bidi w:val="0"/>
        <w:ind w:left="0"/>
        <w:jc w:val="lowKashida"/>
        <w:rPr>
          <w:rFonts w:cs="Times New Roman"/>
          <w:i/>
          <w:iCs/>
          <w:sz w:val="20"/>
          <w:u w:val="single"/>
        </w:rPr>
      </w:pPr>
    </w:p>
    <w:p w:rsidR="0007478A" w:rsidRPr="006D6B66" w:rsidRDefault="007B28A2" w:rsidP="00332048">
      <w:pPr>
        <w:pStyle w:val="Title"/>
        <w:numPr>
          <w:ilvl w:val="0"/>
          <w:numId w:val="19"/>
        </w:numPr>
        <w:tabs>
          <w:tab w:val="right" w:pos="308"/>
        </w:tabs>
        <w:bidi w:val="0"/>
        <w:ind w:left="252" w:hanging="252"/>
        <w:jc w:val="left"/>
        <w:rPr>
          <w:rFonts w:cs="Traditional Arabic"/>
          <w:sz w:val="20"/>
          <w:szCs w:val="20"/>
        </w:rPr>
      </w:pPr>
      <w:r w:rsidRPr="006D6B66">
        <w:rPr>
          <w:rFonts w:cs="Traditional Arabic"/>
          <w:sz w:val="20"/>
          <w:szCs w:val="20"/>
        </w:rPr>
        <w:t xml:space="preserve">Prices and Price Indices </w:t>
      </w:r>
    </w:p>
    <w:p w:rsidR="00C030FD" w:rsidRPr="00632B94" w:rsidRDefault="00C030FD" w:rsidP="00332048">
      <w:pPr>
        <w:pStyle w:val="Title"/>
        <w:bidi w:val="0"/>
        <w:ind w:left="-210" w:firstLine="210"/>
        <w:jc w:val="left"/>
        <w:rPr>
          <w:rFonts w:cs="Traditional Arabic"/>
          <w:sz w:val="20"/>
          <w:szCs w:val="20"/>
        </w:rPr>
      </w:pPr>
      <w:r w:rsidRPr="00632B94">
        <w:rPr>
          <w:rFonts w:cs="Traditional Arabic"/>
          <w:sz w:val="20"/>
          <w:szCs w:val="20"/>
        </w:rPr>
        <w:t>1</w:t>
      </w:r>
      <w:r w:rsidR="00332048">
        <w:rPr>
          <w:rFonts w:cs="Traditional Arabic"/>
          <w:sz w:val="20"/>
          <w:szCs w:val="20"/>
        </w:rPr>
        <w:t>6</w:t>
      </w:r>
      <w:r w:rsidRPr="00632B94">
        <w:rPr>
          <w:rFonts w:cs="Traditional Arabic"/>
          <w:sz w:val="20"/>
          <w:szCs w:val="20"/>
        </w:rPr>
        <w:t xml:space="preserve">.1 Changes in Consumer Price Indices in 2017 compared with 2016: </w:t>
      </w:r>
    </w:p>
    <w:p w:rsidR="00C030FD" w:rsidRPr="00632B94" w:rsidRDefault="00C030FD" w:rsidP="00332048">
      <w:pPr>
        <w:pStyle w:val="BodyText2"/>
        <w:numPr>
          <w:ilvl w:val="0"/>
          <w:numId w:val="2"/>
        </w:numPr>
        <w:overflowPunct/>
        <w:autoSpaceDE/>
        <w:autoSpaceDN/>
        <w:adjustRightInd/>
        <w:spacing w:after="120"/>
        <w:ind w:left="266" w:hanging="266"/>
        <w:textAlignment w:val="auto"/>
        <w:rPr>
          <w:noProof/>
        </w:rPr>
      </w:pPr>
      <w:r w:rsidRPr="00632B94">
        <w:rPr>
          <w:noProof/>
        </w:rPr>
        <w:t>The Consumer Price Index in Palestine increased by 0.21%.</w:t>
      </w:r>
    </w:p>
    <w:p w:rsidR="00C030FD" w:rsidRPr="00632B94" w:rsidRDefault="00C030FD" w:rsidP="00332048">
      <w:pPr>
        <w:pStyle w:val="BodyText2"/>
        <w:numPr>
          <w:ilvl w:val="0"/>
          <w:numId w:val="2"/>
        </w:numPr>
        <w:overflowPunct/>
        <w:autoSpaceDE/>
        <w:autoSpaceDN/>
        <w:adjustRightInd/>
        <w:spacing w:after="120"/>
        <w:ind w:left="266" w:hanging="266"/>
        <w:textAlignment w:val="auto"/>
        <w:rPr>
          <w:noProof/>
        </w:rPr>
      </w:pPr>
      <w:r w:rsidRPr="00632B94">
        <w:rPr>
          <w:noProof/>
        </w:rPr>
        <w:t>The Consumer Price Index in Jerusalem J1 increased by 2.18%.</w:t>
      </w:r>
    </w:p>
    <w:p w:rsidR="00C030FD" w:rsidRPr="00632B94" w:rsidRDefault="00C030FD" w:rsidP="00332048">
      <w:pPr>
        <w:pStyle w:val="BodyText2"/>
        <w:numPr>
          <w:ilvl w:val="0"/>
          <w:numId w:val="2"/>
        </w:numPr>
        <w:overflowPunct/>
        <w:autoSpaceDE/>
        <w:autoSpaceDN/>
        <w:adjustRightInd/>
        <w:spacing w:after="120"/>
        <w:ind w:left="266" w:hanging="266"/>
        <w:textAlignment w:val="auto"/>
        <w:rPr>
          <w:noProof/>
        </w:rPr>
      </w:pPr>
      <w:r w:rsidRPr="00632B94">
        <w:rPr>
          <w:noProof/>
        </w:rPr>
        <w:t>The Consumer Price Index in Gaza Strip increased by 0.11%.</w:t>
      </w:r>
    </w:p>
    <w:p w:rsidR="00C030FD" w:rsidRPr="00632B94" w:rsidRDefault="00C030FD" w:rsidP="00332048">
      <w:pPr>
        <w:pStyle w:val="BodyText2"/>
        <w:numPr>
          <w:ilvl w:val="0"/>
          <w:numId w:val="2"/>
        </w:numPr>
        <w:overflowPunct/>
        <w:autoSpaceDE/>
        <w:autoSpaceDN/>
        <w:adjustRightInd/>
        <w:spacing w:after="120"/>
        <w:ind w:left="266" w:hanging="266"/>
        <w:textAlignment w:val="auto"/>
        <w:rPr>
          <w:noProof/>
        </w:rPr>
      </w:pPr>
      <w:r w:rsidRPr="00632B94">
        <w:rPr>
          <w:noProof/>
        </w:rPr>
        <w:t>The Consumer Price Index in the West Bank slightly decreased by 0.01%.</w:t>
      </w:r>
    </w:p>
    <w:p w:rsidR="00C030FD" w:rsidRPr="00632B94" w:rsidRDefault="00C030FD" w:rsidP="00C030FD">
      <w:pPr>
        <w:pStyle w:val="BodyText"/>
        <w:overflowPunct/>
        <w:autoSpaceDE/>
        <w:adjustRightInd/>
        <w:ind w:left="142"/>
        <w:jc w:val="lowKashida"/>
        <w:textAlignment w:val="auto"/>
        <w:rPr>
          <w:sz w:val="10"/>
          <w:szCs w:val="10"/>
        </w:rPr>
      </w:pPr>
    </w:p>
    <w:p w:rsidR="00C030FD" w:rsidRPr="00332048" w:rsidRDefault="00C030FD" w:rsidP="00332048">
      <w:pPr>
        <w:pStyle w:val="Title"/>
        <w:bidi w:val="0"/>
        <w:ind w:left="-210" w:firstLine="210"/>
        <w:jc w:val="left"/>
        <w:rPr>
          <w:rFonts w:cs="Traditional Arabic"/>
          <w:sz w:val="20"/>
          <w:szCs w:val="20"/>
        </w:rPr>
      </w:pPr>
      <w:r w:rsidRPr="00332048">
        <w:rPr>
          <w:rFonts w:cs="Traditional Arabic"/>
          <w:sz w:val="20"/>
          <w:szCs w:val="20"/>
        </w:rPr>
        <w:t>1</w:t>
      </w:r>
      <w:r w:rsidR="00332048">
        <w:rPr>
          <w:rFonts w:cs="Traditional Arabic"/>
          <w:sz w:val="20"/>
          <w:szCs w:val="20"/>
        </w:rPr>
        <w:t>6</w:t>
      </w:r>
      <w:r w:rsidRPr="00332048">
        <w:rPr>
          <w:rFonts w:cs="Traditional Arabic"/>
          <w:sz w:val="20"/>
          <w:szCs w:val="20"/>
        </w:rPr>
        <w:t>.2 Changes in Producer Price Indices in 2017 compared with 2016:</w:t>
      </w:r>
    </w:p>
    <w:p w:rsidR="00C030FD" w:rsidRPr="00632B94" w:rsidRDefault="00C030FD" w:rsidP="00332048">
      <w:pPr>
        <w:pStyle w:val="BodyText2"/>
        <w:numPr>
          <w:ilvl w:val="0"/>
          <w:numId w:val="2"/>
        </w:numPr>
        <w:overflowPunct/>
        <w:autoSpaceDE/>
        <w:autoSpaceDN/>
        <w:adjustRightInd/>
        <w:spacing w:after="120"/>
        <w:ind w:left="266" w:hanging="266"/>
        <w:textAlignment w:val="auto"/>
        <w:rPr>
          <w:noProof/>
        </w:rPr>
      </w:pPr>
      <w:r w:rsidRPr="00632B94">
        <w:rPr>
          <w:noProof/>
        </w:rPr>
        <w:t>The total Producer Price Index increased by 0.88%.</w:t>
      </w:r>
    </w:p>
    <w:p w:rsidR="00C030FD" w:rsidRPr="00632B94" w:rsidRDefault="00C030FD" w:rsidP="00332048">
      <w:pPr>
        <w:pStyle w:val="BodyText2"/>
        <w:numPr>
          <w:ilvl w:val="0"/>
          <w:numId w:val="2"/>
        </w:numPr>
        <w:overflowPunct/>
        <w:autoSpaceDE/>
        <w:autoSpaceDN/>
        <w:adjustRightInd/>
        <w:spacing w:after="120"/>
        <w:ind w:left="266" w:hanging="266"/>
        <w:textAlignment w:val="auto"/>
        <w:rPr>
          <w:noProof/>
        </w:rPr>
      </w:pPr>
      <w:r w:rsidRPr="00632B94">
        <w:rPr>
          <w:noProof/>
        </w:rPr>
        <w:t>The Producer Price Index for locally consumed products increased by 0.98%.</w:t>
      </w:r>
    </w:p>
    <w:p w:rsidR="00C030FD" w:rsidRPr="00632B94" w:rsidRDefault="00C030FD" w:rsidP="00332048">
      <w:pPr>
        <w:pStyle w:val="BodyText2"/>
        <w:numPr>
          <w:ilvl w:val="0"/>
          <w:numId w:val="2"/>
        </w:numPr>
        <w:overflowPunct/>
        <w:autoSpaceDE/>
        <w:autoSpaceDN/>
        <w:adjustRightInd/>
        <w:spacing w:after="120"/>
        <w:ind w:left="266" w:hanging="266"/>
        <w:textAlignment w:val="auto"/>
        <w:rPr>
          <w:noProof/>
        </w:rPr>
      </w:pPr>
      <w:r w:rsidRPr="00632B94">
        <w:rPr>
          <w:noProof/>
        </w:rPr>
        <w:t>The Producer Price Index for exported products slightly decreased by 0.04%.</w:t>
      </w:r>
    </w:p>
    <w:p w:rsidR="00C030FD" w:rsidRPr="00632B94" w:rsidRDefault="00C030FD" w:rsidP="00C030FD">
      <w:pPr>
        <w:pStyle w:val="BodyText"/>
        <w:overflowPunct/>
        <w:autoSpaceDE/>
        <w:adjustRightInd/>
        <w:ind w:left="142"/>
        <w:jc w:val="lowKashida"/>
        <w:textAlignment w:val="auto"/>
        <w:rPr>
          <w:sz w:val="10"/>
          <w:szCs w:val="10"/>
        </w:rPr>
      </w:pPr>
    </w:p>
    <w:p w:rsidR="00C030FD" w:rsidRPr="00332048" w:rsidRDefault="00C030FD" w:rsidP="00332048">
      <w:pPr>
        <w:pStyle w:val="Title"/>
        <w:bidi w:val="0"/>
        <w:ind w:left="-210" w:firstLine="210"/>
        <w:jc w:val="left"/>
        <w:rPr>
          <w:rFonts w:cs="Traditional Arabic"/>
          <w:sz w:val="20"/>
          <w:szCs w:val="20"/>
        </w:rPr>
      </w:pPr>
      <w:r w:rsidRPr="00332048">
        <w:rPr>
          <w:rFonts w:cs="Traditional Arabic"/>
          <w:sz w:val="20"/>
          <w:szCs w:val="20"/>
        </w:rPr>
        <w:t>1</w:t>
      </w:r>
      <w:r w:rsidR="00332048">
        <w:rPr>
          <w:rFonts w:cs="Traditional Arabic"/>
          <w:sz w:val="20"/>
          <w:szCs w:val="20"/>
        </w:rPr>
        <w:t>6</w:t>
      </w:r>
      <w:r w:rsidRPr="00332048">
        <w:rPr>
          <w:rFonts w:cs="Traditional Arabic"/>
          <w:sz w:val="20"/>
          <w:szCs w:val="20"/>
        </w:rPr>
        <w:t>.3 Changes in Wholesale Price Indices in 2017 compared with 2016:</w:t>
      </w:r>
    </w:p>
    <w:p w:rsidR="00C030FD" w:rsidRPr="00632B94" w:rsidRDefault="00C030FD" w:rsidP="00332048">
      <w:pPr>
        <w:pStyle w:val="BodyText2"/>
        <w:numPr>
          <w:ilvl w:val="0"/>
          <w:numId w:val="2"/>
        </w:numPr>
        <w:overflowPunct/>
        <w:autoSpaceDE/>
        <w:autoSpaceDN/>
        <w:adjustRightInd/>
        <w:spacing w:after="120"/>
        <w:ind w:left="266" w:hanging="266"/>
        <w:textAlignment w:val="auto"/>
        <w:rPr>
          <w:noProof/>
        </w:rPr>
      </w:pPr>
      <w:r w:rsidRPr="00632B94">
        <w:rPr>
          <w:noProof/>
        </w:rPr>
        <w:t>The total Wholesale Price Index decreased by 1.17%.</w:t>
      </w:r>
    </w:p>
    <w:p w:rsidR="00C030FD" w:rsidRPr="00632B94" w:rsidRDefault="00C030FD" w:rsidP="00332048">
      <w:pPr>
        <w:pStyle w:val="BodyText2"/>
        <w:numPr>
          <w:ilvl w:val="0"/>
          <w:numId w:val="2"/>
        </w:numPr>
        <w:overflowPunct/>
        <w:autoSpaceDE/>
        <w:autoSpaceDN/>
        <w:adjustRightInd/>
        <w:spacing w:after="120"/>
        <w:ind w:left="266" w:hanging="266"/>
        <w:textAlignment w:val="auto"/>
        <w:rPr>
          <w:noProof/>
        </w:rPr>
      </w:pPr>
      <w:r w:rsidRPr="00632B94">
        <w:rPr>
          <w:noProof/>
        </w:rPr>
        <w:t>The Wholesale Price Index for local products decreased by 1.58%.</w:t>
      </w:r>
    </w:p>
    <w:p w:rsidR="00C030FD" w:rsidRPr="00632B94" w:rsidRDefault="00C030FD" w:rsidP="00332048">
      <w:pPr>
        <w:pStyle w:val="BodyText2"/>
        <w:numPr>
          <w:ilvl w:val="0"/>
          <w:numId w:val="2"/>
        </w:numPr>
        <w:overflowPunct/>
        <w:autoSpaceDE/>
        <w:autoSpaceDN/>
        <w:adjustRightInd/>
        <w:spacing w:after="120"/>
        <w:ind w:left="266" w:hanging="266"/>
        <w:textAlignment w:val="auto"/>
        <w:rPr>
          <w:noProof/>
        </w:rPr>
      </w:pPr>
      <w:r w:rsidRPr="00632B94">
        <w:rPr>
          <w:noProof/>
        </w:rPr>
        <w:t>The Wholesale Price Index for imported products increased by 0.21%.</w:t>
      </w:r>
    </w:p>
    <w:p w:rsidR="00EE63BF" w:rsidRDefault="00EE63BF" w:rsidP="00860719">
      <w:pPr>
        <w:pStyle w:val="ListParagraph"/>
        <w:bidi w:val="0"/>
        <w:ind w:left="0"/>
        <w:jc w:val="lowKashida"/>
        <w:rPr>
          <w:rFonts w:cs="Times New Roman"/>
          <w:i/>
          <w:iCs/>
          <w:sz w:val="20"/>
          <w:u w:val="single"/>
        </w:rPr>
      </w:pPr>
    </w:p>
    <w:p w:rsidR="008874A9" w:rsidRPr="00332048" w:rsidRDefault="00D936B2" w:rsidP="00EE63BF">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details on prices and price indices, see the tables in chapter 1.1</w:t>
      </w:r>
      <w:r w:rsidR="00EE63BF" w:rsidRPr="00332048">
        <w:rPr>
          <w:rFonts w:cs="Times New Roman"/>
          <w:b/>
          <w:bCs/>
          <w:i/>
          <w:iCs/>
          <w:sz w:val="18"/>
          <w:szCs w:val="18"/>
          <w:u w:val="single"/>
        </w:rPr>
        <w:t>6</w:t>
      </w:r>
      <w:r w:rsidRPr="00332048">
        <w:rPr>
          <w:rFonts w:cs="Times New Roman"/>
          <w:b/>
          <w:bCs/>
          <w:i/>
          <w:iCs/>
          <w:sz w:val="18"/>
          <w:szCs w:val="18"/>
          <w:u w:val="single"/>
        </w:rPr>
        <w:t xml:space="preserve"> of the Arabic section, pages</w:t>
      </w:r>
      <w:r w:rsidRPr="00332048">
        <w:rPr>
          <w:rFonts w:cs="Times New Roman"/>
          <w:b/>
          <w:bCs/>
          <w:i/>
          <w:iCs/>
          <w:sz w:val="18"/>
          <w:szCs w:val="18"/>
          <w:u w:val="single"/>
          <w:rtl/>
        </w:rPr>
        <w:t xml:space="preserve"> </w:t>
      </w:r>
      <w:r w:rsidR="00860719" w:rsidRPr="00332048">
        <w:rPr>
          <w:rFonts w:cs="Times New Roman"/>
          <w:b/>
          <w:bCs/>
          <w:i/>
          <w:iCs/>
          <w:sz w:val="18"/>
          <w:szCs w:val="18"/>
          <w:u w:val="single"/>
        </w:rPr>
        <w:t>18</w:t>
      </w:r>
      <w:r w:rsidR="00EE63BF" w:rsidRPr="00332048">
        <w:rPr>
          <w:rFonts w:cs="Times New Roman"/>
          <w:b/>
          <w:bCs/>
          <w:i/>
          <w:iCs/>
          <w:sz w:val="18"/>
          <w:szCs w:val="18"/>
          <w:u w:val="single"/>
        </w:rPr>
        <w:t>5</w:t>
      </w:r>
      <w:r w:rsidRPr="00332048">
        <w:rPr>
          <w:rFonts w:cs="Times New Roman"/>
          <w:b/>
          <w:bCs/>
          <w:i/>
          <w:iCs/>
          <w:sz w:val="18"/>
          <w:szCs w:val="18"/>
          <w:u w:val="single"/>
        </w:rPr>
        <w:t>-</w:t>
      </w:r>
      <w:r w:rsidR="00860719" w:rsidRPr="00332048">
        <w:rPr>
          <w:rFonts w:cs="Times New Roman"/>
          <w:b/>
          <w:bCs/>
          <w:i/>
          <w:iCs/>
          <w:sz w:val="18"/>
          <w:szCs w:val="18"/>
          <w:u w:val="single"/>
        </w:rPr>
        <w:t>19</w:t>
      </w:r>
      <w:r w:rsidR="00EE63BF" w:rsidRPr="00332048">
        <w:rPr>
          <w:rFonts w:cs="Times New Roman"/>
          <w:b/>
          <w:bCs/>
          <w:i/>
          <w:iCs/>
          <w:sz w:val="18"/>
          <w:szCs w:val="18"/>
          <w:u w:val="single"/>
        </w:rPr>
        <w:t>6</w:t>
      </w:r>
      <w:r w:rsidR="00324085" w:rsidRPr="00332048">
        <w:rPr>
          <w:rFonts w:cs="Times New Roman"/>
          <w:b/>
          <w:bCs/>
          <w:i/>
          <w:iCs/>
          <w:sz w:val="18"/>
          <w:szCs w:val="18"/>
          <w:u w:val="single"/>
        </w:rPr>
        <w:t>.</w:t>
      </w:r>
    </w:p>
    <w:p w:rsidR="006064E5" w:rsidRPr="00632B94" w:rsidRDefault="006064E5" w:rsidP="006064E5">
      <w:pPr>
        <w:pStyle w:val="ListParagraph"/>
        <w:bidi w:val="0"/>
        <w:ind w:left="0"/>
        <w:jc w:val="lowKashida"/>
        <w:rPr>
          <w:rFonts w:cs="Times New Roman"/>
          <w:i/>
          <w:iCs/>
          <w:sz w:val="20"/>
          <w:u w:val="single"/>
        </w:rPr>
      </w:pPr>
    </w:p>
    <w:p w:rsidR="006064E5" w:rsidRPr="00632B94" w:rsidRDefault="006064E5" w:rsidP="00332048">
      <w:pPr>
        <w:pStyle w:val="Title"/>
        <w:numPr>
          <w:ilvl w:val="0"/>
          <w:numId w:val="19"/>
        </w:numPr>
        <w:tabs>
          <w:tab w:val="right" w:pos="308"/>
        </w:tabs>
        <w:bidi w:val="0"/>
        <w:ind w:left="252" w:hanging="252"/>
        <w:jc w:val="left"/>
        <w:rPr>
          <w:rFonts w:cs="Traditional Arabic"/>
          <w:sz w:val="20"/>
          <w:szCs w:val="20"/>
        </w:rPr>
      </w:pPr>
      <w:r w:rsidRPr="00632B94">
        <w:rPr>
          <w:rFonts w:cs="Traditional Arabic"/>
          <w:sz w:val="20"/>
          <w:szCs w:val="20"/>
        </w:rPr>
        <w:t>Construction</w:t>
      </w:r>
    </w:p>
    <w:p w:rsidR="006064E5" w:rsidRPr="00332048" w:rsidRDefault="006064E5" w:rsidP="00332048">
      <w:pPr>
        <w:pStyle w:val="Title"/>
        <w:bidi w:val="0"/>
        <w:ind w:left="-210" w:firstLine="210"/>
        <w:jc w:val="left"/>
        <w:rPr>
          <w:rFonts w:cs="Traditional Arabic"/>
          <w:sz w:val="20"/>
          <w:szCs w:val="20"/>
        </w:rPr>
      </w:pPr>
      <w:r w:rsidRPr="00332048">
        <w:rPr>
          <w:rFonts w:cs="Traditional Arabic"/>
          <w:sz w:val="20"/>
          <w:szCs w:val="20"/>
        </w:rPr>
        <w:t>1</w:t>
      </w:r>
      <w:r w:rsidR="00332048">
        <w:rPr>
          <w:rFonts w:cs="Traditional Arabic"/>
          <w:sz w:val="20"/>
          <w:szCs w:val="20"/>
        </w:rPr>
        <w:t>7</w:t>
      </w:r>
      <w:r w:rsidRPr="00332048">
        <w:rPr>
          <w:rFonts w:cs="Traditional Arabic"/>
          <w:sz w:val="20"/>
          <w:szCs w:val="20"/>
        </w:rPr>
        <w:t>.1 Enterprises in Operation</w:t>
      </w:r>
    </w:p>
    <w:p w:rsidR="00392B88" w:rsidRPr="00632B94" w:rsidRDefault="00392B88"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There were </w:t>
      </w:r>
      <w:r w:rsidRPr="00632B94">
        <w:rPr>
          <w:noProof/>
          <w:rtl/>
        </w:rPr>
        <w:t>640</w:t>
      </w:r>
      <w:r w:rsidRPr="00632B94">
        <w:rPr>
          <w:noProof/>
        </w:rPr>
        <w:t xml:space="preserve"> enterprises engaged in this sector in Palestine in 2017.</w:t>
      </w:r>
    </w:p>
    <w:p w:rsidR="00392B88" w:rsidRPr="00632B94" w:rsidRDefault="00392B88" w:rsidP="0021610B">
      <w:pPr>
        <w:pStyle w:val="BodyText2"/>
        <w:numPr>
          <w:ilvl w:val="0"/>
          <w:numId w:val="2"/>
        </w:numPr>
        <w:overflowPunct/>
        <w:autoSpaceDE/>
        <w:autoSpaceDN/>
        <w:adjustRightInd/>
        <w:spacing w:after="120"/>
        <w:ind w:left="266" w:hanging="266"/>
        <w:textAlignment w:val="auto"/>
        <w:rPr>
          <w:noProof/>
        </w:rPr>
      </w:pPr>
      <w:r w:rsidRPr="00632B94">
        <w:rPr>
          <w:noProof/>
        </w:rPr>
        <w:t>There were 10,621</w:t>
      </w:r>
      <w:r w:rsidR="0021610B">
        <w:rPr>
          <w:noProof/>
        </w:rPr>
        <w:t xml:space="preserve"> </w:t>
      </w:r>
      <w:r w:rsidR="0021610B" w:rsidRPr="00632B94">
        <w:rPr>
          <w:noProof/>
        </w:rPr>
        <w:t xml:space="preserve">employed persons </w:t>
      </w:r>
      <w:r w:rsidRPr="00632B94">
        <w:rPr>
          <w:noProof/>
        </w:rPr>
        <w:t>in this sector in 2017.</w:t>
      </w:r>
    </w:p>
    <w:p w:rsidR="00392B88" w:rsidRPr="00632B94" w:rsidRDefault="00392B88" w:rsidP="00332048">
      <w:pPr>
        <w:pStyle w:val="BodyText2"/>
        <w:numPr>
          <w:ilvl w:val="0"/>
          <w:numId w:val="2"/>
        </w:numPr>
        <w:overflowPunct/>
        <w:autoSpaceDE/>
        <w:autoSpaceDN/>
        <w:adjustRightInd/>
        <w:spacing w:after="120"/>
        <w:ind w:left="266" w:hanging="266"/>
        <w:textAlignment w:val="auto"/>
        <w:rPr>
          <w:noProof/>
        </w:rPr>
      </w:pPr>
      <w:r w:rsidRPr="00632B94">
        <w:rPr>
          <w:noProof/>
        </w:rPr>
        <w:t>The value of the enterprises output in the construction sector was USD 690.5 million; intermediate consumption totaled USD 348.9 million; and the value added was USD 341.7</w:t>
      </w:r>
      <w:r w:rsidRPr="00632B94">
        <w:rPr>
          <w:noProof/>
          <w:rtl/>
        </w:rPr>
        <w:t xml:space="preserve"> </w:t>
      </w:r>
      <w:r w:rsidRPr="00632B94">
        <w:rPr>
          <w:noProof/>
        </w:rPr>
        <w:t xml:space="preserve">million in </w:t>
      </w:r>
      <w:r w:rsidR="000457C7" w:rsidRPr="00632B94">
        <w:rPr>
          <w:noProof/>
        </w:rPr>
        <w:t>2017</w:t>
      </w:r>
      <w:r w:rsidRPr="00632B94">
        <w:rPr>
          <w:noProof/>
        </w:rPr>
        <w:t>.</w:t>
      </w:r>
    </w:p>
    <w:p w:rsidR="006064E5" w:rsidRPr="00632B94" w:rsidRDefault="006064E5" w:rsidP="006064E5">
      <w:pPr>
        <w:pStyle w:val="BodyText"/>
        <w:overflowPunct/>
        <w:autoSpaceDE/>
        <w:adjustRightInd/>
        <w:ind w:left="142"/>
        <w:jc w:val="lowKashida"/>
        <w:textAlignment w:val="auto"/>
        <w:rPr>
          <w:sz w:val="10"/>
          <w:szCs w:val="10"/>
          <w:rtl/>
        </w:rPr>
      </w:pPr>
    </w:p>
    <w:p w:rsidR="006064E5" w:rsidRPr="00632B94" w:rsidRDefault="006064E5" w:rsidP="00332048">
      <w:pPr>
        <w:pStyle w:val="Title"/>
        <w:bidi w:val="0"/>
        <w:ind w:left="-210" w:firstLine="210"/>
        <w:jc w:val="left"/>
        <w:rPr>
          <w:rFonts w:cs="Traditional Arabic"/>
          <w:sz w:val="20"/>
          <w:szCs w:val="20"/>
        </w:rPr>
      </w:pPr>
      <w:r w:rsidRPr="00632B94">
        <w:rPr>
          <w:rFonts w:cs="Traditional Arabic"/>
          <w:sz w:val="20"/>
          <w:szCs w:val="20"/>
        </w:rPr>
        <w:t>1</w:t>
      </w:r>
      <w:r w:rsidR="00332048">
        <w:rPr>
          <w:rFonts w:cs="Traditional Arabic"/>
          <w:sz w:val="20"/>
          <w:szCs w:val="20"/>
        </w:rPr>
        <w:t>7</w:t>
      </w:r>
      <w:r w:rsidRPr="00632B94">
        <w:rPr>
          <w:rFonts w:cs="Traditional Arabic"/>
          <w:sz w:val="20"/>
          <w:szCs w:val="20"/>
        </w:rPr>
        <w:t>.2 Building Licenses</w:t>
      </w:r>
    </w:p>
    <w:p w:rsidR="00392B88" w:rsidRPr="00632B94" w:rsidRDefault="00392B88"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total number of building licenses issued in 2017 decreased by 13.1% and the new units decreased by 15.7% compared with </w:t>
      </w:r>
      <w:bookmarkStart w:id="0" w:name="OLE_LINK12"/>
      <w:r w:rsidRPr="00632B94">
        <w:rPr>
          <w:noProof/>
        </w:rPr>
        <w:t xml:space="preserve">2016. </w:t>
      </w:r>
      <w:bookmarkEnd w:id="0"/>
    </w:p>
    <w:p w:rsidR="006064E5" w:rsidRPr="00332048" w:rsidRDefault="006064E5" w:rsidP="00EE63BF">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w:t>
      </w:r>
      <w:r w:rsidR="003C27F3" w:rsidRPr="00332048">
        <w:rPr>
          <w:rFonts w:cs="Times New Roman"/>
          <w:b/>
          <w:bCs/>
          <w:i/>
          <w:iCs/>
          <w:sz w:val="18"/>
          <w:szCs w:val="18"/>
          <w:u w:val="single"/>
        </w:rPr>
        <w:t>s</w:t>
      </w:r>
      <w:r w:rsidRPr="00332048">
        <w:rPr>
          <w:rFonts w:cs="Times New Roman"/>
          <w:b/>
          <w:bCs/>
          <w:i/>
          <w:iCs/>
          <w:sz w:val="18"/>
          <w:szCs w:val="18"/>
          <w:u w:val="single"/>
        </w:rPr>
        <w:t xml:space="preserve"> on construction, see the tables in chapter 1.</w:t>
      </w:r>
      <w:r w:rsidR="00DF5F9C" w:rsidRPr="00332048">
        <w:rPr>
          <w:rFonts w:cs="Times New Roman"/>
          <w:b/>
          <w:bCs/>
          <w:i/>
          <w:iCs/>
          <w:sz w:val="18"/>
          <w:szCs w:val="18"/>
          <w:u w:val="single"/>
        </w:rPr>
        <w:t>1</w:t>
      </w:r>
      <w:r w:rsidR="00EE63BF" w:rsidRPr="00332048">
        <w:rPr>
          <w:rFonts w:cs="Times New Roman"/>
          <w:b/>
          <w:bCs/>
          <w:i/>
          <w:iCs/>
          <w:sz w:val="18"/>
          <w:szCs w:val="18"/>
          <w:u w:val="single"/>
        </w:rPr>
        <w:t>7</w:t>
      </w:r>
      <w:r w:rsidR="00DF5F9C" w:rsidRPr="00332048">
        <w:rPr>
          <w:rFonts w:cs="Times New Roman"/>
          <w:b/>
          <w:bCs/>
          <w:i/>
          <w:iCs/>
          <w:sz w:val="18"/>
          <w:szCs w:val="18"/>
          <w:u w:val="single"/>
        </w:rPr>
        <w:t xml:space="preserve"> </w:t>
      </w:r>
      <w:r w:rsidRPr="00332048">
        <w:rPr>
          <w:rFonts w:cs="Times New Roman"/>
          <w:b/>
          <w:bCs/>
          <w:i/>
          <w:iCs/>
          <w:sz w:val="18"/>
          <w:szCs w:val="18"/>
          <w:u w:val="single"/>
        </w:rPr>
        <w:t>of the Arabic section, pages</w:t>
      </w:r>
      <w:r w:rsidRPr="00332048">
        <w:rPr>
          <w:rFonts w:cs="Times New Roman"/>
          <w:b/>
          <w:bCs/>
          <w:i/>
          <w:iCs/>
          <w:sz w:val="18"/>
          <w:szCs w:val="18"/>
          <w:u w:val="single"/>
          <w:rtl/>
        </w:rPr>
        <w:t xml:space="preserve"> </w:t>
      </w:r>
      <w:r w:rsidR="00821E3B">
        <w:rPr>
          <w:rFonts w:cs="Times New Roman"/>
          <w:b/>
          <w:bCs/>
          <w:i/>
          <w:iCs/>
          <w:sz w:val="18"/>
          <w:szCs w:val="18"/>
          <w:u w:val="single"/>
        </w:rPr>
        <w:t xml:space="preserve">      </w:t>
      </w:r>
      <w:r w:rsidRPr="00332048">
        <w:rPr>
          <w:rFonts w:cs="Times New Roman"/>
          <w:b/>
          <w:bCs/>
          <w:i/>
          <w:iCs/>
          <w:sz w:val="18"/>
          <w:szCs w:val="18"/>
          <w:u w:val="single"/>
        </w:rPr>
        <w:t>19</w:t>
      </w:r>
      <w:r w:rsidR="00EE63BF" w:rsidRPr="00332048">
        <w:rPr>
          <w:rFonts w:cs="Times New Roman"/>
          <w:b/>
          <w:bCs/>
          <w:i/>
          <w:iCs/>
          <w:sz w:val="18"/>
          <w:szCs w:val="18"/>
          <w:u w:val="single"/>
        </w:rPr>
        <w:t>7</w:t>
      </w:r>
      <w:r w:rsidRPr="00332048">
        <w:rPr>
          <w:rFonts w:cs="Times New Roman"/>
          <w:b/>
          <w:bCs/>
          <w:i/>
          <w:iCs/>
          <w:sz w:val="18"/>
          <w:szCs w:val="18"/>
          <w:u w:val="single"/>
        </w:rPr>
        <w:t>-20</w:t>
      </w:r>
      <w:r w:rsidR="00EE63BF" w:rsidRPr="00332048">
        <w:rPr>
          <w:rFonts w:cs="Times New Roman"/>
          <w:b/>
          <w:bCs/>
          <w:i/>
          <w:iCs/>
          <w:sz w:val="18"/>
          <w:szCs w:val="18"/>
          <w:u w:val="single"/>
        </w:rPr>
        <w:t>4</w:t>
      </w:r>
      <w:r w:rsidRPr="00332048">
        <w:rPr>
          <w:rFonts w:cs="Times New Roman"/>
          <w:b/>
          <w:bCs/>
          <w:i/>
          <w:iCs/>
          <w:sz w:val="18"/>
          <w:szCs w:val="18"/>
          <w:u w:val="single"/>
        </w:rPr>
        <w:t>.</w:t>
      </w:r>
    </w:p>
    <w:p w:rsidR="006064E5" w:rsidRPr="00632B94" w:rsidRDefault="006064E5" w:rsidP="006064E5">
      <w:pPr>
        <w:pStyle w:val="BodyText"/>
        <w:overflowPunct/>
        <w:autoSpaceDE/>
        <w:adjustRightInd/>
        <w:ind w:left="142"/>
        <w:jc w:val="lowKashida"/>
        <w:textAlignment w:val="auto"/>
        <w:rPr>
          <w:sz w:val="10"/>
          <w:szCs w:val="10"/>
        </w:rPr>
      </w:pPr>
    </w:p>
    <w:p w:rsidR="006064E5" w:rsidRPr="00632B94" w:rsidRDefault="006064E5" w:rsidP="006064E5">
      <w:pPr>
        <w:pStyle w:val="BodyText"/>
        <w:overflowPunct/>
        <w:autoSpaceDE/>
        <w:adjustRightInd/>
        <w:ind w:left="142"/>
        <w:jc w:val="lowKashida"/>
        <w:textAlignment w:val="auto"/>
        <w:rPr>
          <w:sz w:val="10"/>
          <w:szCs w:val="10"/>
        </w:rPr>
      </w:pPr>
    </w:p>
    <w:p w:rsidR="006064E5" w:rsidRPr="00632B94" w:rsidRDefault="006064E5" w:rsidP="00332048">
      <w:pPr>
        <w:pStyle w:val="Title"/>
        <w:numPr>
          <w:ilvl w:val="0"/>
          <w:numId w:val="19"/>
        </w:numPr>
        <w:tabs>
          <w:tab w:val="right" w:pos="308"/>
        </w:tabs>
        <w:bidi w:val="0"/>
        <w:ind w:left="252" w:hanging="252"/>
        <w:jc w:val="left"/>
        <w:rPr>
          <w:rFonts w:cs="Traditional Arabic"/>
          <w:sz w:val="20"/>
          <w:szCs w:val="20"/>
        </w:rPr>
      </w:pPr>
      <w:r w:rsidRPr="00632B94">
        <w:rPr>
          <w:rFonts w:cs="Traditional Arabic"/>
          <w:sz w:val="20"/>
          <w:szCs w:val="20"/>
        </w:rPr>
        <w:t xml:space="preserve">Industry                              </w:t>
      </w:r>
    </w:p>
    <w:p w:rsidR="00444CAC" w:rsidRPr="00632B94" w:rsidRDefault="00444CAC" w:rsidP="00332048">
      <w:pPr>
        <w:pStyle w:val="BodyText2"/>
        <w:numPr>
          <w:ilvl w:val="0"/>
          <w:numId w:val="2"/>
        </w:numPr>
        <w:overflowPunct/>
        <w:autoSpaceDE/>
        <w:autoSpaceDN/>
        <w:adjustRightInd/>
        <w:spacing w:after="120"/>
        <w:ind w:left="266" w:hanging="266"/>
        <w:textAlignment w:val="auto"/>
        <w:rPr>
          <w:noProof/>
        </w:rPr>
      </w:pPr>
      <w:r w:rsidRPr="00632B94">
        <w:rPr>
          <w:noProof/>
        </w:rPr>
        <w:t>There were 19,118 enterprises engaged in this sector in Palestine in 2017.</w:t>
      </w:r>
    </w:p>
    <w:p w:rsidR="00AB3882" w:rsidRPr="00632B94" w:rsidRDefault="00AB3882" w:rsidP="006064E5">
      <w:pPr>
        <w:pStyle w:val="BodyText"/>
        <w:overflowPunct/>
        <w:autoSpaceDE/>
        <w:adjustRightInd/>
        <w:ind w:left="142"/>
        <w:jc w:val="lowKashida"/>
        <w:textAlignment w:val="auto"/>
        <w:rPr>
          <w:sz w:val="10"/>
          <w:szCs w:val="10"/>
        </w:rPr>
      </w:pPr>
    </w:p>
    <w:p w:rsidR="006064E5" w:rsidRPr="00632B94" w:rsidRDefault="006064E5" w:rsidP="006064E5">
      <w:pPr>
        <w:pStyle w:val="BodyText"/>
        <w:overflowPunct/>
        <w:autoSpaceDE/>
        <w:adjustRightInd/>
        <w:ind w:left="142"/>
        <w:jc w:val="lowKashida"/>
        <w:textAlignment w:val="auto"/>
        <w:rPr>
          <w:sz w:val="6"/>
          <w:szCs w:val="6"/>
        </w:rPr>
      </w:pPr>
      <w:r w:rsidRPr="00632B94">
        <w:rPr>
          <w:sz w:val="10"/>
          <w:szCs w:val="10"/>
        </w:rPr>
        <w:t xml:space="preserve"> </w:t>
      </w:r>
    </w:p>
    <w:p w:rsidR="00DB238D" w:rsidRPr="00632B94" w:rsidRDefault="00DB238D" w:rsidP="00DB238D">
      <w:pPr>
        <w:jc w:val="center"/>
        <w:rPr>
          <w:b/>
          <w:bCs/>
          <w:sz w:val="18"/>
          <w:szCs w:val="18"/>
        </w:rPr>
      </w:pPr>
      <w:r w:rsidRPr="00632B94">
        <w:rPr>
          <w:b/>
          <w:bCs/>
          <w:sz w:val="18"/>
          <w:szCs w:val="18"/>
        </w:rPr>
        <w:t>Main Economic Indicators for Industrial Activities, 2015-2017</w:t>
      </w:r>
    </w:p>
    <w:p w:rsidR="00DB238D" w:rsidRPr="00632B94" w:rsidRDefault="00DB238D" w:rsidP="00DB238D">
      <w:pPr>
        <w:jc w:val="center"/>
        <w:rPr>
          <w:b/>
          <w:bCs/>
          <w:sz w:val="10"/>
          <w:szCs w:val="10"/>
          <w:rtl/>
        </w:rPr>
      </w:pPr>
    </w:p>
    <w:p w:rsidR="00DB238D" w:rsidRPr="00632B94" w:rsidRDefault="00DB238D" w:rsidP="00DB238D">
      <w:pPr>
        <w:pStyle w:val="ListParagraph"/>
        <w:bidi w:val="0"/>
        <w:ind w:left="0"/>
        <w:jc w:val="center"/>
        <w:rPr>
          <w:rFonts w:ascii="Arial" w:hAnsi="Arial"/>
          <w:b/>
          <w:bCs/>
          <w:sz w:val="16"/>
          <w:szCs w:val="16"/>
          <w:rtl/>
        </w:rPr>
      </w:pPr>
      <w:r w:rsidRPr="00632B94">
        <w:rPr>
          <w:bdr w:val="single" w:sz="4" w:space="0" w:color="auto" w:frame="1"/>
        </w:rPr>
        <w:drawing>
          <wp:inline distT="0" distB="0" distL="0" distR="0">
            <wp:extent cx="4013200" cy="1517650"/>
            <wp:effectExtent l="0" t="0" r="0" b="0"/>
            <wp:docPr id="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B238D" w:rsidRPr="00632B94" w:rsidRDefault="00DB238D" w:rsidP="00DB238D">
      <w:pPr>
        <w:pStyle w:val="BodyText"/>
        <w:overflowPunct/>
        <w:autoSpaceDE/>
        <w:adjustRightInd/>
        <w:ind w:left="142"/>
        <w:jc w:val="lowKashida"/>
        <w:textAlignment w:val="auto"/>
        <w:rPr>
          <w:sz w:val="10"/>
          <w:szCs w:val="10"/>
        </w:rPr>
      </w:pPr>
    </w:p>
    <w:p w:rsidR="00DB238D" w:rsidRPr="00632B94" w:rsidRDefault="00DB238D" w:rsidP="00332048">
      <w:pPr>
        <w:pStyle w:val="BodyText2"/>
        <w:numPr>
          <w:ilvl w:val="0"/>
          <w:numId w:val="2"/>
        </w:numPr>
        <w:overflowPunct/>
        <w:autoSpaceDE/>
        <w:autoSpaceDN/>
        <w:adjustRightInd/>
        <w:spacing w:after="120"/>
        <w:ind w:left="266" w:hanging="266"/>
        <w:textAlignment w:val="auto"/>
        <w:rPr>
          <w:noProof/>
        </w:rPr>
      </w:pPr>
      <w:r w:rsidRPr="00632B94">
        <w:rPr>
          <w:noProof/>
        </w:rPr>
        <w:t>There were 95,787</w:t>
      </w:r>
      <w:r w:rsidRPr="00332048">
        <w:rPr>
          <w:noProof/>
          <w:rtl/>
        </w:rPr>
        <w:t xml:space="preserve"> </w:t>
      </w:r>
      <w:r w:rsidRPr="00632B94">
        <w:rPr>
          <w:noProof/>
        </w:rPr>
        <w:t>employed persons in this sector in 2017.</w:t>
      </w:r>
    </w:p>
    <w:p w:rsidR="00DB238D" w:rsidRPr="00632B94" w:rsidRDefault="00DB238D" w:rsidP="00332048">
      <w:pPr>
        <w:pStyle w:val="BodyText2"/>
        <w:numPr>
          <w:ilvl w:val="0"/>
          <w:numId w:val="2"/>
        </w:numPr>
        <w:overflowPunct/>
        <w:autoSpaceDE/>
        <w:autoSpaceDN/>
        <w:adjustRightInd/>
        <w:spacing w:after="120"/>
        <w:ind w:left="266" w:hanging="266"/>
        <w:textAlignment w:val="auto"/>
        <w:rPr>
          <w:noProof/>
        </w:rPr>
      </w:pPr>
      <w:r w:rsidRPr="00632B94">
        <w:rPr>
          <w:noProof/>
        </w:rPr>
        <w:t>The value of the enterprises output in industrial activities was USD 4,784.7</w:t>
      </w:r>
      <w:r w:rsidRPr="00332048">
        <w:rPr>
          <w:noProof/>
          <w:rtl/>
        </w:rPr>
        <w:t xml:space="preserve"> </w:t>
      </w:r>
      <w:r w:rsidRPr="00632B94">
        <w:rPr>
          <w:noProof/>
        </w:rPr>
        <w:t>million, intermediate consumption totaled USD 2,805.9</w:t>
      </w:r>
      <w:r w:rsidRPr="00332048">
        <w:rPr>
          <w:noProof/>
          <w:rtl/>
        </w:rPr>
        <w:t xml:space="preserve"> </w:t>
      </w:r>
      <w:r w:rsidRPr="00632B94">
        <w:rPr>
          <w:noProof/>
        </w:rPr>
        <w:t>million, and the value added was USD 1,978.8 million in 2017.</w:t>
      </w:r>
    </w:p>
    <w:p w:rsidR="006064E5" w:rsidRPr="00332048" w:rsidRDefault="006064E5" w:rsidP="00EE63BF">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details on industry, see the tables in chapter 1.</w:t>
      </w:r>
      <w:r w:rsidR="006304DF" w:rsidRPr="00332048">
        <w:rPr>
          <w:rFonts w:cs="Times New Roman"/>
          <w:b/>
          <w:bCs/>
          <w:i/>
          <w:iCs/>
          <w:sz w:val="18"/>
          <w:szCs w:val="18"/>
          <w:u w:val="single"/>
        </w:rPr>
        <w:t>1</w:t>
      </w:r>
      <w:r w:rsidR="00EE63BF" w:rsidRPr="00332048">
        <w:rPr>
          <w:rFonts w:cs="Times New Roman"/>
          <w:b/>
          <w:bCs/>
          <w:i/>
          <w:iCs/>
          <w:sz w:val="18"/>
          <w:szCs w:val="18"/>
          <w:u w:val="single"/>
        </w:rPr>
        <w:t>8</w:t>
      </w:r>
      <w:r w:rsidRPr="00332048">
        <w:rPr>
          <w:rFonts w:cs="Times New Roman"/>
          <w:b/>
          <w:bCs/>
          <w:i/>
          <w:iCs/>
          <w:sz w:val="18"/>
          <w:szCs w:val="18"/>
          <w:u w:val="single"/>
        </w:rPr>
        <w:t xml:space="preserve"> of the Arabic section, pages </w:t>
      </w:r>
      <w:r w:rsidRPr="00332048">
        <w:rPr>
          <w:rFonts w:cs="Times New Roman" w:hint="cs"/>
          <w:b/>
          <w:bCs/>
          <w:i/>
          <w:iCs/>
          <w:sz w:val="18"/>
          <w:szCs w:val="18"/>
          <w:u w:val="single"/>
          <w:rtl/>
        </w:rPr>
        <w:t>20</w:t>
      </w:r>
      <w:r w:rsidR="00EE63BF" w:rsidRPr="00332048">
        <w:rPr>
          <w:rFonts w:cs="Times New Roman"/>
          <w:b/>
          <w:bCs/>
          <w:i/>
          <w:iCs/>
          <w:sz w:val="18"/>
          <w:szCs w:val="18"/>
          <w:u w:val="single"/>
        </w:rPr>
        <w:t>5</w:t>
      </w:r>
      <w:r w:rsidRPr="00332048">
        <w:rPr>
          <w:rFonts w:cs="Times New Roman"/>
          <w:b/>
          <w:bCs/>
          <w:i/>
          <w:iCs/>
          <w:sz w:val="18"/>
          <w:szCs w:val="18"/>
          <w:u w:val="single"/>
        </w:rPr>
        <w:t>-</w:t>
      </w:r>
      <w:r w:rsidRPr="00332048">
        <w:rPr>
          <w:rFonts w:cs="Times New Roman" w:hint="cs"/>
          <w:b/>
          <w:bCs/>
          <w:i/>
          <w:iCs/>
          <w:sz w:val="18"/>
          <w:szCs w:val="18"/>
          <w:u w:val="single"/>
          <w:rtl/>
        </w:rPr>
        <w:t>20</w:t>
      </w:r>
      <w:r w:rsidR="00EE63BF" w:rsidRPr="00332048">
        <w:rPr>
          <w:rFonts w:cs="Times New Roman"/>
          <w:b/>
          <w:bCs/>
          <w:i/>
          <w:iCs/>
          <w:sz w:val="18"/>
          <w:szCs w:val="18"/>
          <w:u w:val="single"/>
        </w:rPr>
        <w:t>8</w:t>
      </w:r>
      <w:r w:rsidRPr="00332048">
        <w:rPr>
          <w:rFonts w:cs="Times New Roman"/>
          <w:b/>
          <w:bCs/>
          <w:i/>
          <w:iCs/>
          <w:sz w:val="18"/>
          <w:szCs w:val="18"/>
          <w:u w:val="single"/>
        </w:rPr>
        <w:t>.</w:t>
      </w:r>
    </w:p>
    <w:p w:rsidR="00980C3D" w:rsidRPr="00980C3D" w:rsidRDefault="00980C3D" w:rsidP="00980C3D">
      <w:pPr>
        <w:pStyle w:val="Title"/>
        <w:tabs>
          <w:tab w:val="right" w:pos="308"/>
        </w:tabs>
        <w:bidi w:val="0"/>
        <w:jc w:val="left"/>
        <w:rPr>
          <w:rFonts w:cs="Traditional Arabic"/>
          <w:sz w:val="20"/>
          <w:szCs w:val="20"/>
        </w:rPr>
      </w:pPr>
    </w:p>
    <w:p w:rsidR="00980C3D" w:rsidRPr="00980C3D" w:rsidRDefault="00980C3D" w:rsidP="00980C3D">
      <w:pPr>
        <w:pStyle w:val="Title"/>
        <w:tabs>
          <w:tab w:val="right" w:pos="308"/>
        </w:tabs>
        <w:bidi w:val="0"/>
        <w:jc w:val="left"/>
        <w:rPr>
          <w:rFonts w:cs="Traditional Arabic"/>
          <w:sz w:val="20"/>
          <w:szCs w:val="20"/>
        </w:rPr>
      </w:pPr>
    </w:p>
    <w:p w:rsidR="00151705" w:rsidRDefault="00151705" w:rsidP="00151705">
      <w:pPr>
        <w:pStyle w:val="Title"/>
        <w:tabs>
          <w:tab w:val="right" w:pos="308"/>
        </w:tabs>
        <w:bidi w:val="0"/>
        <w:ind w:left="252"/>
        <w:jc w:val="left"/>
        <w:rPr>
          <w:rFonts w:cs="Traditional Arabic"/>
          <w:sz w:val="20"/>
          <w:szCs w:val="20"/>
        </w:rPr>
      </w:pPr>
    </w:p>
    <w:p w:rsidR="00151705" w:rsidRDefault="00151705" w:rsidP="00151705">
      <w:pPr>
        <w:pStyle w:val="Title"/>
        <w:tabs>
          <w:tab w:val="right" w:pos="308"/>
        </w:tabs>
        <w:bidi w:val="0"/>
        <w:ind w:left="252"/>
        <w:jc w:val="left"/>
        <w:rPr>
          <w:rFonts w:cs="Traditional Arabic"/>
          <w:sz w:val="20"/>
          <w:szCs w:val="20"/>
        </w:rPr>
      </w:pPr>
    </w:p>
    <w:p w:rsidR="001804B8" w:rsidRPr="00332048" w:rsidRDefault="001804B8" w:rsidP="00151705">
      <w:pPr>
        <w:pStyle w:val="Title"/>
        <w:numPr>
          <w:ilvl w:val="0"/>
          <w:numId w:val="19"/>
        </w:numPr>
        <w:tabs>
          <w:tab w:val="right" w:pos="308"/>
        </w:tabs>
        <w:bidi w:val="0"/>
        <w:ind w:left="252" w:hanging="252"/>
        <w:jc w:val="left"/>
        <w:rPr>
          <w:rFonts w:cs="Traditional Arabic"/>
          <w:sz w:val="20"/>
          <w:szCs w:val="20"/>
        </w:rPr>
      </w:pPr>
      <w:r w:rsidRPr="00332048">
        <w:rPr>
          <w:rFonts w:cs="Traditional Arabic"/>
          <w:sz w:val="20"/>
          <w:szCs w:val="20"/>
        </w:rPr>
        <w:t>Transport and Commuincation</w:t>
      </w:r>
    </w:p>
    <w:p w:rsidR="001F2744" w:rsidRPr="00332048" w:rsidRDefault="001804B8" w:rsidP="00332048">
      <w:pPr>
        <w:pStyle w:val="Title"/>
        <w:bidi w:val="0"/>
        <w:ind w:left="-210" w:firstLine="210"/>
        <w:jc w:val="left"/>
        <w:rPr>
          <w:rFonts w:cs="Traditional Arabic"/>
          <w:sz w:val="20"/>
          <w:szCs w:val="20"/>
        </w:rPr>
      </w:pPr>
      <w:r w:rsidRPr="00332048">
        <w:rPr>
          <w:rFonts w:cs="Traditional Arabic"/>
          <w:sz w:val="20"/>
          <w:szCs w:val="20"/>
        </w:rPr>
        <w:t>1</w:t>
      </w:r>
      <w:r w:rsidR="00332048">
        <w:rPr>
          <w:rFonts w:cs="Traditional Arabic"/>
          <w:sz w:val="20"/>
          <w:szCs w:val="20"/>
        </w:rPr>
        <w:t>9</w:t>
      </w:r>
      <w:r w:rsidRPr="00332048">
        <w:rPr>
          <w:rFonts w:cs="Traditional Arabic"/>
          <w:sz w:val="20"/>
          <w:szCs w:val="20"/>
        </w:rPr>
        <w:t>.1</w:t>
      </w:r>
      <w:r w:rsidR="001C6EBE" w:rsidRPr="00332048">
        <w:rPr>
          <w:rFonts w:cs="Traditional Arabic"/>
          <w:sz w:val="20"/>
          <w:szCs w:val="20"/>
        </w:rPr>
        <w:t xml:space="preserve"> </w:t>
      </w:r>
      <w:r w:rsidR="001F2744" w:rsidRPr="00332048">
        <w:rPr>
          <w:rFonts w:cs="Traditional Arabic"/>
          <w:sz w:val="20"/>
          <w:szCs w:val="20"/>
        </w:rPr>
        <w:t xml:space="preserve">Transport and </w:t>
      </w:r>
      <w:r w:rsidR="001C6EBE" w:rsidRPr="00332048">
        <w:rPr>
          <w:rFonts w:cs="Traditional Arabic"/>
          <w:sz w:val="20"/>
          <w:szCs w:val="20"/>
        </w:rPr>
        <w:t>Storage</w:t>
      </w:r>
      <w:r w:rsidR="001F2744" w:rsidRPr="00332048">
        <w:rPr>
          <w:rFonts w:cs="Traditional Arabic"/>
          <w:sz w:val="20"/>
          <w:szCs w:val="20"/>
        </w:rPr>
        <w:t xml:space="preserve">                               </w:t>
      </w:r>
    </w:p>
    <w:p w:rsidR="009E1EF7" w:rsidRPr="00632B94" w:rsidRDefault="009E1EF7" w:rsidP="00332048">
      <w:pPr>
        <w:pStyle w:val="BodyText2"/>
        <w:numPr>
          <w:ilvl w:val="0"/>
          <w:numId w:val="2"/>
        </w:numPr>
        <w:overflowPunct/>
        <w:autoSpaceDE/>
        <w:autoSpaceDN/>
        <w:adjustRightInd/>
        <w:spacing w:after="120"/>
        <w:ind w:left="266" w:hanging="266"/>
        <w:textAlignment w:val="auto"/>
        <w:rPr>
          <w:noProof/>
        </w:rPr>
      </w:pPr>
      <w:r w:rsidRPr="00632B94">
        <w:rPr>
          <w:noProof/>
        </w:rPr>
        <w:t>There were 1,074 enterprises engaged in this sector in Palestine in 2017.</w:t>
      </w:r>
    </w:p>
    <w:p w:rsidR="009E1EF7" w:rsidRPr="00632B94" w:rsidRDefault="009E1EF7" w:rsidP="0021610B">
      <w:pPr>
        <w:pStyle w:val="BodyText2"/>
        <w:numPr>
          <w:ilvl w:val="0"/>
          <w:numId w:val="2"/>
        </w:numPr>
        <w:overflowPunct/>
        <w:autoSpaceDE/>
        <w:autoSpaceDN/>
        <w:adjustRightInd/>
        <w:spacing w:after="120"/>
        <w:ind w:left="266" w:hanging="266"/>
        <w:textAlignment w:val="auto"/>
        <w:rPr>
          <w:noProof/>
        </w:rPr>
      </w:pPr>
      <w:r w:rsidRPr="00632B94">
        <w:rPr>
          <w:noProof/>
        </w:rPr>
        <w:t>There were 6,862</w:t>
      </w:r>
      <w:r w:rsidRPr="00632B94">
        <w:rPr>
          <w:noProof/>
          <w:rtl/>
        </w:rPr>
        <w:t xml:space="preserve"> </w:t>
      </w:r>
      <w:r w:rsidR="0021610B" w:rsidRPr="00632B94">
        <w:rPr>
          <w:noProof/>
        </w:rPr>
        <w:t xml:space="preserve">employed persons </w:t>
      </w:r>
      <w:r w:rsidRPr="00632B94">
        <w:rPr>
          <w:noProof/>
        </w:rPr>
        <w:t>in this sector in 2017.</w:t>
      </w:r>
    </w:p>
    <w:p w:rsidR="009E1EF7" w:rsidRPr="00632B94" w:rsidRDefault="009E1EF7" w:rsidP="00332048">
      <w:pPr>
        <w:pStyle w:val="BodyText2"/>
        <w:numPr>
          <w:ilvl w:val="0"/>
          <w:numId w:val="2"/>
        </w:numPr>
        <w:overflowPunct/>
        <w:autoSpaceDE/>
        <w:autoSpaceDN/>
        <w:adjustRightInd/>
        <w:spacing w:after="120"/>
        <w:ind w:left="266" w:hanging="266"/>
        <w:textAlignment w:val="auto"/>
        <w:rPr>
          <w:noProof/>
        </w:rPr>
      </w:pPr>
      <w:r w:rsidRPr="00632B94">
        <w:rPr>
          <w:noProof/>
        </w:rPr>
        <w:t>The value of the enterprises output in transport and storage activities was USD 189</w:t>
      </w:r>
      <w:r w:rsidRPr="00632B94">
        <w:rPr>
          <w:noProof/>
          <w:rtl/>
        </w:rPr>
        <w:t>.</w:t>
      </w:r>
      <w:r w:rsidR="003A4C52" w:rsidRPr="00632B94">
        <w:rPr>
          <w:noProof/>
        </w:rPr>
        <w:t>3</w:t>
      </w:r>
      <w:r w:rsidRPr="00632B94">
        <w:rPr>
          <w:noProof/>
        </w:rPr>
        <w:t xml:space="preserve"> million; intermediate consumption was USD 76</w:t>
      </w:r>
      <w:r w:rsidRPr="00632B94">
        <w:rPr>
          <w:noProof/>
          <w:rtl/>
        </w:rPr>
        <w:t>.</w:t>
      </w:r>
      <w:r w:rsidR="003A4C52" w:rsidRPr="00632B94">
        <w:rPr>
          <w:noProof/>
        </w:rPr>
        <w:t xml:space="preserve">8 </w:t>
      </w:r>
      <w:r w:rsidRPr="00632B94">
        <w:rPr>
          <w:noProof/>
        </w:rPr>
        <w:t>million; and the value added was USD 112.5 million in 2017.</w:t>
      </w:r>
    </w:p>
    <w:p w:rsidR="00AB3882" w:rsidRPr="00632B94" w:rsidRDefault="00AB3882" w:rsidP="004402D8">
      <w:pPr>
        <w:pStyle w:val="BodyText"/>
        <w:overflowPunct/>
        <w:autoSpaceDE/>
        <w:adjustRightInd/>
        <w:ind w:left="142"/>
        <w:jc w:val="lowKashida"/>
        <w:textAlignment w:val="auto"/>
        <w:rPr>
          <w:sz w:val="10"/>
          <w:szCs w:val="10"/>
          <w:rtl/>
        </w:rPr>
      </w:pPr>
    </w:p>
    <w:p w:rsidR="00275B40" w:rsidRPr="00332048" w:rsidRDefault="00275B40" w:rsidP="00332048">
      <w:pPr>
        <w:pStyle w:val="Title"/>
        <w:bidi w:val="0"/>
        <w:ind w:left="-210" w:firstLine="210"/>
        <w:jc w:val="left"/>
        <w:rPr>
          <w:rFonts w:cs="Traditional Arabic"/>
          <w:sz w:val="20"/>
          <w:szCs w:val="20"/>
        </w:rPr>
      </w:pPr>
      <w:r w:rsidRPr="00332048">
        <w:rPr>
          <w:rFonts w:cs="Traditional Arabic"/>
          <w:sz w:val="20"/>
          <w:szCs w:val="20"/>
        </w:rPr>
        <w:t>1</w:t>
      </w:r>
      <w:r w:rsidR="00332048">
        <w:rPr>
          <w:rFonts w:cs="Traditional Arabic"/>
          <w:sz w:val="20"/>
          <w:szCs w:val="20"/>
        </w:rPr>
        <w:t>9</w:t>
      </w:r>
      <w:r w:rsidRPr="00332048">
        <w:rPr>
          <w:rFonts w:cs="Traditional Arabic"/>
          <w:sz w:val="20"/>
          <w:szCs w:val="20"/>
        </w:rPr>
        <w:t>.2 Information and Communications</w:t>
      </w:r>
    </w:p>
    <w:p w:rsidR="005878C8" w:rsidRPr="00632B94" w:rsidRDefault="005878C8" w:rsidP="00332048">
      <w:pPr>
        <w:pStyle w:val="BodyText2"/>
        <w:numPr>
          <w:ilvl w:val="0"/>
          <w:numId w:val="2"/>
        </w:numPr>
        <w:overflowPunct/>
        <w:autoSpaceDE/>
        <w:autoSpaceDN/>
        <w:adjustRightInd/>
        <w:spacing w:after="120"/>
        <w:ind w:left="266" w:hanging="266"/>
        <w:textAlignment w:val="auto"/>
        <w:rPr>
          <w:noProof/>
        </w:rPr>
      </w:pPr>
      <w:r w:rsidRPr="00632B94">
        <w:rPr>
          <w:noProof/>
        </w:rPr>
        <w:t>There were 698 enterprises engaged in this sector in Palestine in 2017.</w:t>
      </w:r>
    </w:p>
    <w:p w:rsidR="005878C8" w:rsidRPr="00632B94" w:rsidRDefault="005878C8" w:rsidP="0021610B">
      <w:pPr>
        <w:pStyle w:val="BodyText2"/>
        <w:numPr>
          <w:ilvl w:val="0"/>
          <w:numId w:val="2"/>
        </w:numPr>
        <w:overflowPunct/>
        <w:autoSpaceDE/>
        <w:autoSpaceDN/>
        <w:adjustRightInd/>
        <w:spacing w:after="120"/>
        <w:ind w:left="266" w:hanging="266"/>
        <w:textAlignment w:val="auto"/>
        <w:rPr>
          <w:noProof/>
        </w:rPr>
      </w:pPr>
      <w:r w:rsidRPr="00632B94">
        <w:rPr>
          <w:noProof/>
        </w:rPr>
        <w:t xml:space="preserve"> There were 8,408 </w:t>
      </w:r>
      <w:r w:rsidR="0021610B" w:rsidRPr="00632B94">
        <w:rPr>
          <w:noProof/>
        </w:rPr>
        <w:t xml:space="preserve">employed persons </w:t>
      </w:r>
      <w:r w:rsidRPr="00632B94">
        <w:rPr>
          <w:noProof/>
        </w:rPr>
        <w:t>in this sector in 2017</w:t>
      </w:r>
      <w:r w:rsidRPr="00632B94">
        <w:rPr>
          <w:noProof/>
          <w:rtl/>
        </w:rPr>
        <w:t>.</w:t>
      </w:r>
    </w:p>
    <w:p w:rsidR="005878C8" w:rsidRPr="00632B94" w:rsidRDefault="005878C8" w:rsidP="00332048">
      <w:pPr>
        <w:pStyle w:val="BodyText2"/>
        <w:numPr>
          <w:ilvl w:val="0"/>
          <w:numId w:val="2"/>
        </w:numPr>
        <w:overflowPunct/>
        <w:autoSpaceDE/>
        <w:autoSpaceDN/>
        <w:adjustRightInd/>
        <w:spacing w:after="120"/>
        <w:ind w:left="266" w:hanging="266"/>
        <w:textAlignment w:val="auto"/>
        <w:rPr>
          <w:noProof/>
        </w:rPr>
      </w:pPr>
      <w:r w:rsidRPr="00632B94">
        <w:rPr>
          <w:noProof/>
        </w:rPr>
        <w:t>The value of the enterprises output in information and communication activities was USD 650.7 million; intermediate consumption was USD 130.</w:t>
      </w:r>
      <w:r w:rsidR="003A4C52" w:rsidRPr="00632B94">
        <w:rPr>
          <w:noProof/>
        </w:rPr>
        <w:t>1</w:t>
      </w:r>
      <w:r w:rsidRPr="00632B94">
        <w:rPr>
          <w:noProof/>
          <w:rtl/>
        </w:rPr>
        <w:t xml:space="preserve"> </w:t>
      </w:r>
      <w:r w:rsidRPr="00632B94">
        <w:rPr>
          <w:noProof/>
        </w:rPr>
        <w:t xml:space="preserve"> million; and the value added was USD 520.6 million in 2017.</w:t>
      </w:r>
    </w:p>
    <w:p w:rsidR="00EE63BF" w:rsidRDefault="00EE63BF" w:rsidP="00AC5E60">
      <w:pPr>
        <w:pStyle w:val="ListParagraph"/>
        <w:bidi w:val="0"/>
        <w:ind w:left="0"/>
        <w:jc w:val="lowKashida"/>
        <w:rPr>
          <w:rFonts w:cs="Times New Roman"/>
          <w:i/>
          <w:iCs/>
          <w:sz w:val="20"/>
          <w:u w:val="single"/>
        </w:rPr>
      </w:pPr>
    </w:p>
    <w:p w:rsidR="00F126B1" w:rsidRPr="00332048" w:rsidRDefault="00F126B1" w:rsidP="00980C3D">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 xml:space="preserve">For more details on </w:t>
      </w:r>
      <w:r w:rsidR="00980C3D">
        <w:rPr>
          <w:rFonts w:cs="Times New Roman"/>
          <w:b/>
          <w:bCs/>
          <w:i/>
          <w:iCs/>
          <w:sz w:val="18"/>
          <w:szCs w:val="18"/>
          <w:u w:val="single"/>
        </w:rPr>
        <w:t>transport</w:t>
      </w:r>
      <w:r w:rsidR="00D57C6C" w:rsidRPr="00332048">
        <w:rPr>
          <w:rFonts w:cs="Times New Roman"/>
          <w:b/>
          <w:bCs/>
          <w:i/>
          <w:iCs/>
          <w:sz w:val="18"/>
          <w:szCs w:val="18"/>
          <w:u w:val="single"/>
        </w:rPr>
        <w:t xml:space="preserve"> and Communications</w:t>
      </w:r>
      <w:r w:rsidRPr="00332048">
        <w:rPr>
          <w:rFonts w:cs="Times New Roman"/>
          <w:b/>
          <w:bCs/>
          <w:i/>
          <w:iCs/>
          <w:sz w:val="18"/>
          <w:szCs w:val="18"/>
          <w:u w:val="single"/>
        </w:rPr>
        <w:t>, see the tables in chapter 1.</w:t>
      </w:r>
      <w:r w:rsidR="00DE12F8" w:rsidRPr="00332048">
        <w:rPr>
          <w:rFonts w:cs="Times New Roman"/>
          <w:b/>
          <w:bCs/>
          <w:i/>
          <w:iCs/>
          <w:sz w:val="18"/>
          <w:szCs w:val="18"/>
          <w:u w:val="single"/>
        </w:rPr>
        <w:t>1</w:t>
      </w:r>
      <w:r w:rsidR="00EE63BF" w:rsidRPr="00332048">
        <w:rPr>
          <w:rFonts w:cs="Times New Roman"/>
          <w:b/>
          <w:bCs/>
          <w:i/>
          <w:iCs/>
          <w:sz w:val="18"/>
          <w:szCs w:val="18"/>
          <w:u w:val="single"/>
        </w:rPr>
        <w:t>9</w:t>
      </w:r>
      <w:r w:rsidRPr="00332048">
        <w:rPr>
          <w:rFonts w:cs="Times New Roman"/>
          <w:b/>
          <w:bCs/>
          <w:i/>
          <w:iCs/>
          <w:sz w:val="18"/>
          <w:szCs w:val="18"/>
          <w:u w:val="single"/>
        </w:rPr>
        <w:t xml:space="preserve"> of the Arabic section, pages</w:t>
      </w:r>
      <w:r w:rsidRPr="00332048">
        <w:rPr>
          <w:rFonts w:cs="Times New Roman"/>
          <w:b/>
          <w:bCs/>
          <w:i/>
          <w:iCs/>
          <w:sz w:val="18"/>
          <w:szCs w:val="18"/>
          <w:u w:val="single"/>
          <w:rtl/>
        </w:rPr>
        <w:t xml:space="preserve"> </w:t>
      </w:r>
      <w:r w:rsidR="00A12C35" w:rsidRPr="00332048">
        <w:rPr>
          <w:rFonts w:cs="Times New Roman"/>
          <w:b/>
          <w:bCs/>
          <w:i/>
          <w:iCs/>
          <w:sz w:val="18"/>
          <w:szCs w:val="18"/>
          <w:u w:val="single"/>
        </w:rPr>
        <w:t>20</w:t>
      </w:r>
      <w:r w:rsidR="00EE63BF" w:rsidRPr="00332048">
        <w:rPr>
          <w:rFonts w:cs="Times New Roman"/>
          <w:b/>
          <w:bCs/>
          <w:i/>
          <w:iCs/>
          <w:sz w:val="18"/>
          <w:szCs w:val="18"/>
          <w:u w:val="single"/>
        </w:rPr>
        <w:t>9</w:t>
      </w:r>
      <w:r w:rsidRPr="00332048">
        <w:rPr>
          <w:rFonts w:cs="Times New Roman"/>
          <w:b/>
          <w:bCs/>
          <w:i/>
          <w:iCs/>
          <w:sz w:val="18"/>
          <w:szCs w:val="18"/>
          <w:u w:val="single"/>
        </w:rPr>
        <w:t>-</w:t>
      </w:r>
      <w:r w:rsidR="00A12C35" w:rsidRPr="00332048">
        <w:rPr>
          <w:rFonts w:cs="Times New Roman"/>
          <w:b/>
          <w:bCs/>
          <w:i/>
          <w:iCs/>
          <w:sz w:val="18"/>
          <w:szCs w:val="18"/>
          <w:u w:val="single"/>
        </w:rPr>
        <w:t>21</w:t>
      </w:r>
      <w:r w:rsidR="00EE63BF" w:rsidRPr="00332048">
        <w:rPr>
          <w:rFonts w:cs="Times New Roman"/>
          <w:b/>
          <w:bCs/>
          <w:i/>
          <w:iCs/>
          <w:sz w:val="18"/>
          <w:szCs w:val="18"/>
          <w:u w:val="single"/>
        </w:rPr>
        <w:t>8</w:t>
      </w:r>
      <w:r w:rsidRPr="00332048">
        <w:rPr>
          <w:rFonts w:cs="Times New Roman"/>
          <w:b/>
          <w:bCs/>
          <w:i/>
          <w:iCs/>
          <w:sz w:val="18"/>
          <w:szCs w:val="18"/>
          <w:u w:val="single"/>
        </w:rPr>
        <w:t>.</w:t>
      </w:r>
    </w:p>
    <w:p w:rsidR="00950832" w:rsidRPr="00632B94" w:rsidRDefault="00950832" w:rsidP="00950832">
      <w:pPr>
        <w:pStyle w:val="ListParagraph"/>
        <w:bidi w:val="0"/>
        <w:ind w:left="0"/>
        <w:jc w:val="lowKashida"/>
        <w:rPr>
          <w:rFonts w:cs="Times New Roman"/>
          <w:i/>
          <w:iCs/>
          <w:sz w:val="20"/>
          <w:u w:val="single"/>
        </w:rPr>
      </w:pPr>
    </w:p>
    <w:p w:rsidR="001F2744" w:rsidRPr="00332048" w:rsidRDefault="001F2744" w:rsidP="00332048">
      <w:pPr>
        <w:pStyle w:val="Title"/>
        <w:numPr>
          <w:ilvl w:val="0"/>
          <w:numId w:val="19"/>
        </w:numPr>
        <w:tabs>
          <w:tab w:val="right" w:pos="308"/>
        </w:tabs>
        <w:bidi w:val="0"/>
        <w:ind w:left="252" w:hanging="252"/>
        <w:jc w:val="left"/>
        <w:rPr>
          <w:rFonts w:cs="Traditional Arabic"/>
          <w:sz w:val="20"/>
          <w:szCs w:val="20"/>
        </w:rPr>
      </w:pPr>
      <w:r w:rsidRPr="00632B94">
        <w:rPr>
          <w:rFonts w:cs="Traditional Arabic"/>
          <w:sz w:val="20"/>
          <w:szCs w:val="20"/>
        </w:rPr>
        <w:t xml:space="preserve">Tourism              </w:t>
      </w:r>
      <w:r w:rsidRPr="00332048">
        <w:rPr>
          <w:rFonts w:cs="Traditional Arabic"/>
          <w:sz w:val="20"/>
          <w:szCs w:val="20"/>
        </w:rPr>
        <w:t xml:space="preserve">             </w:t>
      </w:r>
    </w:p>
    <w:p w:rsidR="00C16030" w:rsidRDefault="00C16030" w:rsidP="00332048">
      <w:pPr>
        <w:pStyle w:val="BodyText2"/>
        <w:numPr>
          <w:ilvl w:val="0"/>
          <w:numId w:val="2"/>
        </w:numPr>
        <w:overflowPunct/>
        <w:autoSpaceDE/>
        <w:autoSpaceDN/>
        <w:adjustRightInd/>
        <w:spacing w:after="120"/>
        <w:ind w:left="266" w:hanging="266"/>
        <w:textAlignment w:val="auto"/>
        <w:rPr>
          <w:noProof/>
        </w:rPr>
      </w:pPr>
      <w:r w:rsidRPr="00632B94">
        <w:rPr>
          <w:noProof/>
        </w:rPr>
        <w:t>There were 130 hotels in operation in 2017 with 7,343 rooms in total and 16,117</w:t>
      </w:r>
      <w:r w:rsidRPr="00632B94">
        <w:rPr>
          <w:noProof/>
          <w:rtl/>
        </w:rPr>
        <w:t xml:space="preserve"> </w:t>
      </w:r>
      <w:r w:rsidRPr="00632B94">
        <w:rPr>
          <w:noProof/>
        </w:rPr>
        <w:t>beds.</w:t>
      </w:r>
    </w:p>
    <w:p w:rsidR="00C16030" w:rsidRDefault="00C16030" w:rsidP="009A5A93">
      <w:pPr>
        <w:pStyle w:val="BodyText2"/>
        <w:numPr>
          <w:ilvl w:val="0"/>
          <w:numId w:val="2"/>
        </w:numPr>
        <w:overflowPunct/>
        <w:autoSpaceDE/>
        <w:autoSpaceDN/>
        <w:adjustRightInd/>
        <w:spacing w:after="120"/>
        <w:ind w:left="266" w:hanging="266"/>
        <w:textAlignment w:val="auto"/>
        <w:rPr>
          <w:noProof/>
        </w:rPr>
      </w:pPr>
      <w:r w:rsidRPr="00632B94">
        <w:rPr>
          <w:noProof/>
        </w:rPr>
        <w:t>During 2017, the total number of guests in</w:t>
      </w:r>
      <w:r w:rsidR="004D799A">
        <w:rPr>
          <w:noProof/>
        </w:rPr>
        <w:t xml:space="preserve"> operati</w:t>
      </w:r>
      <w:r w:rsidR="009A5A93">
        <w:rPr>
          <w:noProof/>
        </w:rPr>
        <w:t>ng</w:t>
      </w:r>
      <w:r w:rsidRPr="00632B94">
        <w:rPr>
          <w:noProof/>
        </w:rPr>
        <w:t xml:space="preserve"> hotels in the West Bank was </w:t>
      </w:r>
      <w:r w:rsidRPr="00632B94">
        <w:rPr>
          <w:rFonts w:hint="cs"/>
          <w:noProof/>
          <w:rtl/>
        </w:rPr>
        <w:t>545</w:t>
      </w:r>
      <w:r w:rsidRPr="00632B94">
        <w:rPr>
          <w:noProof/>
        </w:rPr>
        <w:t>,</w:t>
      </w:r>
      <w:r w:rsidRPr="00632B94">
        <w:rPr>
          <w:rFonts w:hint="cs"/>
          <w:noProof/>
          <w:rtl/>
        </w:rPr>
        <w:t>814</w:t>
      </w:r>
      <w:r w:rsidRPr="00632B94">
        <w:rPr>
          <w:noProof/>
        </w:rPr>
        <w:t>.</w:t>
      </w:r>
    </w:p>
    <w:p w:rsidR="00C16030" w:rsidRDefault="00C16030"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total number of guest nights was 1,579,143 during 2017. </w:t>
      </w:r>
    </w:p>
    <w:p w:rsidR="00C16030" w:rsidRDefault="009A5A93" w:rsidP="009A5A93">
      <w:pPr>
        <w:pStyle w:val="BodyText2"/>
        <w:numPr>
          <w:ilvl w:val="0"/>
          <w:numId w:val="2"/>
        </w:numPr>
        <w:overflowPunct/>
        <w:autoSpaceDE/>
        <w:autoSpaceDN/>
        <w:adjustRightInd/>
        <w:spacing w:after="120"/>
        <w:ind w:left="266" w:hanging="266"/>
        <w:textAlignment w:val="auto"/>
        <w:rPr>
          <w:noProof/>
        </w:rPr>
      </w:pPr>
      <w:r>
        <w:rPr>
          <w:noProof/>
        </w:rPr>
        <w:t>The a</w:t>
      </w:r>
      <w:r w:rsidR="00247253">
        <w:rPr>
          <w:noProof/>
        </w:rPr>
        <w:t>v</w:t>
      </w:r>
      <w:r>
        <w:rPr>
          <w:noProof/>
        </w:rPr>
        <w:t>e</w:t>
      </w:r>
      <w:r w:rsidR="00247253">
        <w:rPr>
          <w:noProof/>
        </w:rPr>
        <w:t xml:space="preserve">rage number of </w:t>
      </w:r>
      <w:r w:rsidR="00247253" w:rsidRPr="00632B94">
        <w:rPr>
          <w:noProof/>
        </w:rPr>
        <w:t xml:space="preserve">employed persons </w:t>
      </w:r>
      <w:r w:rsidR="00C16030" w:rsidRPr="00632B94">
        <w:rPr>
          <w:noProof/>
        </w:rPr>
        <w:t xml:space="preserve">were </w:t>
      </w:r>
      <w:r w:rsidR="00C16030" w:rsidRPr="00632B94">
        <w:rPr>
          <w:rFonts w:hint="cs"/>
          <w:noProof/>
          <w:rtl/>
        </w:rPr>
        <w:t>3</w:t>
      </w:r>
      <w:r w:rsidR="00C16030" w:rsidRPr="00632B94">
        <w:rPr>
          <w:noProof/>
        </w:rPr>
        <w:t>,</w:t>
      </w:r>
      <w:r w:rsidR="00C16030" w:rsidRPr="00632B94">
        <w:rPr>
          <w:rFonts w:hint="cs"/>
          <w:noProof/>
          <w:rtl/>
        </w:rPr>
        <w:t>0</w:t>
      </w:r>
      <w:r w:rsidR="00C16030" w:rsidRPr="00632B94">
        <w:rPr>
          <w:noProof/>
        </w:rPr>
        <w:t>32 hotel workers: 2,300 males and 732</w:t>
      </w:r>
      <w:r w:rsidR="00C16030" w:rsidRPr="00632B94">
        <w:rPr>
          <w:noProof/>
          <w:rtl/>
        </w:rPr>
        <w:t xml:space="preserve"> </w:t>
      </w:r>
      <w:r w:rsidR="00C16030" w:rsidRPr="00632B94">
        <w:rPr>
          <w:noProof/>
        </w:rPr>
        <w:t>females.</w:t>
      </w:r>
    </w:p>
    <w:p w:rsidR="00C16030" w:rsidRDefault="009A5A93" w:rsidP="00332048">
      <w:pPr>
        <w:pStyle w:val="BodyText2"/>
        <w:numPr>
          <w:ilvl w:val="0"/>
          <w:numId w:val="2"/>
        </w:numPr>
        <w:overflowPunct/>
        <w:autoSpaceDE/>
        <w:autoSpaceDN/>
        <w:adjustRightInd/>
        <w:spacing w:after="120"/>
        <w:ind w:left="266" w:hanging="266"/>
        <w:textAlignment w:val="auto"/>
        <w:rPr>
          <w:noProof/>
        </w:rPr>
      </w:pPr>
      <w:r>
        <w:rPr>
          <w:noProof/>
        </w:rPr>
        <w:t xml:space="preserve">Average </w:t>
      </w:r>
      <w:r w:rsidR="00C16030" w:rsidRPr="00632B94">
        <w:rPr>
          <w:noProof/>
        </w:rPr>
        <w:t>Room occupancy was 20.3% in 2017.</w:t>
      </w:r>
    </w:p>
    <w:p w:rsidR="00C16030" w:rsidRPr="00632B94" w:rsidRDefault="009A5A93" w:rsidP="00332048">
      <w:pPr>
        <w:pStyle w:val="BodyText2"/>
        <w:numPr>
          <w:ilvl w:val="0"/>
          <w:numId w:val="2"/>
        </w:numPr>
        <w:overflowPunct/>
        <w:autoSpaceDE/>
        <w:autoSpaceDN/>
        <w:adjustRightInd/>
        <w:spacing w:after="120"/>
        <w:ind w:left="266" w:hanging="266"/>
        <w:textAlignment w:val="auto"/>
        <w:rPr>
          <w:noProof/>
        </w:rPr>
      </w:pPr>
      <w:r>
        <w:rPr>
          <w:noProof/>
        </w:rPr>
        <w:t xml:space="preserve">Average </w:t>
      </w:r>
      <w:r w:rsidR="00C16030" w:rsidRPr="00632B94">
        <w:rPr>
          <w:noProof/>
        </w:rPr>
        <w:t>Bed occupancy was 26.8% in 2017.</w:t>
      </w:r>
    </w:p>
    <w:p w:rsidR="00EE63BF" w:rsidRDefault="00EE63BF" w:rsidP="00AC5E60">
      <w:pPr>
        <w:pStyle w:val="ListParagraph"/>
        <w:bidi w:val="0"/>
        <w:ind w:left="0"/>
        <w:jc w:val="lowKashida"/>
        <w:rPr>
          <w:rFonts w:cs="Times New Roman"/>
          <w:i/>
          <w:iCs/>
          <w:sz w:val="20"/>
          <w:u w:val="single"/>
        </w:rPr>
      </w:pPr>
    </w:p>
    <w:p w:rsidR="002C4BB1" w:rsidRPr="00332048" w:rsidRDefault="00A77E3C" w:rsidP="00EE63BF">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details on tourism, see the tables in chapter 1.</w:t>
      </w:r>
      <w:r w:rsidR="00EE63BF" w:rsidRPr="00332048">
        <w:rPr>
          <w:rFonts w:cs="Times New Roman"/>
          <w:b/>
          <w:bCs/>
          <w:i/>
          <w:iCs/>
          <w:sz w:val="18"/>
          <w:szCs w:val="18"/>
          <w:u w:val="single"/>
        </w:rPr>
        <w:t>20</w:t>
      </w:r>
      <w:r w:rsidRPr="00332048">
        <w:rPr>
          <w:rFonts w:cs="Times New Roman"/>
          <w:b/>
          <w:bCs/>
          <w:i/>
          <w:iCs/>
          <w:sz w:val="18"/>
          <w:szCs w:val="18"/>
          <w:u w:val="single"/>
        </w:rPr>
        <w:t xml:space="preserve"> of the Arabic section, pages 2</w:t>
      </w:r>
      <w:r w:rsidR="00AC5E60" w:rsidRPr="00332048">
        <w:rPr>
          <w:rFonts w:cs="Times New Roman"/>
          <w:b/>
          <w:bCs/>
          <w:i/>
          <w:iCs/>
          <w:sz w:val="18"/>
          <w:szCs w:val="18"/>
          <w:u w:val="single"/>
        </w:rPr>
        <w:t>1</w:t>
      </w:r>
      <w:r w:rsidR="00EE63BF" w:rsidRPr="00332048">
        <w:rPr>
          <w:rFonts w:cs="Times New Roman"/>
          <w:b/>
          <w:bCs/>
          <w:i/>
          <w:iCs/>
          <w:sz w:val="18"/>
          <w:szCs w:val="18"/>
          <w:u w:val="single"/>
        </w:rPr>
        <w:t>9</w:t>
      </w:r>
      <w:r w:rsidRPr="00332048">
        <w:rPr>
          <w:rFonts w:cs="Times New Roman"/>
          <w:b/>
          <w:bCs/>
          <w:i/>
          <w:iCs/>
          <w:sz w:val="18"/>
          <w:szCs w:val="18"/>
          <w:u w:val="single"/>
        </w:rPr>
        <w:t>-</w:t>
      </w:r>
      <w:r w:rsidR="00AC5E60" w:rsidRPr="00332048">
        <w:rPr>
          <w:rFonts w:cs="Times New Roman"/>
          <w:b/>
          <w:bCs/>
          <w:i/>
          <w:iCs/>
          <w:sz w:val="18"/>
          <w:szCs w:val="18"/>
          <w:u w:val="single"/>
        </w:rPr>
        <w:t>22</w:t>
      </w:r>
      <w:r w:rsidR="00EE63BF" w:rsidRPr="00332048">
        <w:rPr>
          <w:rFonts w:cs="Times New Roman"/>
          <w:b/>
          <w:bCs/>
          <w:i/>
          <w:iCs/>
          <w:sz w:val="18"/>
          <w:szCs w:val="18"/>
          <w:u w:val="single"/>
        </w:rPr>
        <w:t>6</w:t>
      </w:r>
      <w:r w:rsidR="002C4BB1" w:rsidRPr="00332048">
        <w:rPr>
          <w:rFonts w:cs="Times New Roman"/>
          <w:b/>
          <w:bCs/>
          <w:i/>
          <w:iCs/>
          <w:sz w:val="18"/>
          <w:szCs w:val="18"/>
          <w:u w:val="single"/>
        </w:rPr>
        <w:t>.</w:t>
      </w:r>
    </w:p>
    <w:p w:rsidR="001378A2" w:rsidRPr="00632B94" w:rsidRDefault="001378A2" w:rsidP="001378A2">
      <w:pPr>
        <w:pStyle w:val="ListParagraph"/>
        <w:bidi w:val="0"/>
        <w:ind w:left="0"/>
        <w:jc w:val="lowKashida"/>
        <w:rPr>
          <w:rFonts w:cs="Times New Roman"/>
          <w:i/>
          <w:iCs/>
          <w:sz w:val="4"/>
          <w:szCs w:val="4"/>
          <w:u w:val="single"/>
        </w:rPr>
      </w:pPr>
    </w:p>
    <w:p w:rsidR="00A822B8" w:rsidRPr="00632B94" w:rsidRDefault="00A822B8" w:rsidP="00A822B8">
      <w:pPr>
        <w:pStyle w:val="ListParagraph"/>
        <w:bidi w:val="0"/>
        <w:ind w:left="0"/>
        <w:jc w:val="lowKashida"/>
        <w:rPr>
          <w:rFonts w:cs="Times New Roman"/>
          <w:i/>
          <w:iCs/>
          <w:sz w:val="10"/>
          <w:szCs w:val="10"/>
          <w:u w:val="single"/>
        </w:rPr>
      </w:pPr>
    </w:p>
    <w:p w:rsidR="001F2744" w:rsidRPr="00632B94" w:rsidRDefault="001F2744" w:rsidP="00332048">
      <w:pPr>
        <w:pStyle w:val="Title"/>
        <w:numPr>
          <w:ilvl w:val="0"/>
          <w:numId w:val="19"/>
        </w:numPr>
        <w:tabs>
          <w:tab w:val="right" w:pos="308"/>
        </w:tabs>
        <w:bidi w:val="0"/>
        <w:ind w:left="252" w:hanging="252"/>
        <w:jc w:val="left"/>
        <w:rPr>
          <w:rFonts w:cs="Traditional Arabic"/>
          <w:sz w:val="20"/>
          <w:szCs w:val="20"/>
        </w:rPr>
      </w:pPr>
      <w:r w:rsidRPr="00632B94">
        <w:rPr>
          <w:rFonts w:cs="Traditional Arabic"/>
          <w:sz w:val="20"/>
          <w:szCs w:val="20"/>
        </w:rPr>
        <w:t>Services</w:t>
      </w:r>
    </w:p>
    <w:p w:rsidR="004A530C" w:rsidRPr="00632B94" w:rsidRDefault="004A530C" w:rsidP="00332048">
      <w:pPr>
        <w:pStyle w:val="BodyText2"/>
        <w:numPr>
          <w:ilvl w:val="0"/>
          <w:numId w:val="2"/>
        </w:numPr>
        <w:overflowPunct/>
        <w:autoSpaceDE/>
        <w:autoSpaceDN/>
        <w:adjustRightInd/>
        <w:spacing w:after="120"/>
        <w:ind w:left="266" w:hanging="266"/>
        <w:textAlignment w:val="auto"/>
        <w:rPr>
          <w:noProof/>
        </w:rPr>
      </w:pPr>
      <w:r w:rsidRPr="00632B94">
        <w:rPr>
          <w:noProof/>
        </w:rPr>
        <w:t>There were 38,728 enterprises engaged in the services sector in Palestine in 2017.</w:t>
      </w:r>
    </w:p>
    <w:p w:rsidR="004A530C" w:rsidRPr="00632B94" w:rsidRDefault="004A530C" w:rsidP="0021610B">
      <w:pPr>
        <w:pStyle w:val="BodyText2"/>
        <w:numPr>
          <w:ilvl w:val="0"/>
          <w:numId w:val="2"/>
        </w:numPr>
        <w:overflowPunct/>
        <w:autoSpaceDE/>
        <w:autoSpaceDN/>
        <w:adjustRightInd/>
        <w:spacing w:after="120"/>
        <w:ind w:left="266" w:hanging="266"/>
        <w:textAlignment w:val="auto"/>
        <w:rPr>
          <w:noProof/>
        </w:rPr>
      </w:pPr>
      <w:r w:rsidRPr="00632B94">
        <w:rPr>
          <w:noProof/>
        </w:rPr>
        <w:t xml:space="preserve">There were 145,802 </w:t>
      </w:r>
      <w:r w:rsidR="0021610B" w:rsidRPr="00632B94">
        <w:rPr>
          <w:noProof/>
        </w:rPr>
        <w:t xml:space="preserve">employed persons </w:t>
      </w:r>
      <w:r w:rsidRPr="00632B94">
        <w:rPr>
          <w:noProof/>
        </w:rPr>
        <w:t>in services sector.</w:t>
      </w:r>
    </w:p>
    <w:p w:rsidR="004A530C" w:rsidRPr="00632B94" w:rsidRDefault="004A530C" w:rsidP="00332048">
      <w:pPr>
        <w:pStyle w:val="BodyText2"/>
        <w:numPr>
          <w:ilvl w:val="0"/>
          <w:numId w:val="2"/>
        </w:numPr>
        <w:overflowPunct/>
        <w:autoSpaceDE/>
        <w:autoSpaceDN/>
        <w:adjustRightInd/>
        <w:spacing w:after="120"/>
        <w:ind w:left="266" w:hanging="266"/>
        <w:textAlignment w:val="auto"/>
        <w:rPr>
          <w:noProof/>
        </w:rPr>
      </w:pPr>
      <w:r w:rsidRPr="00632B94">
        <w:rPr>
          <w:noProof/>
        </w:rPr>
        <w:t>The value of the enterprises output in the services sector was USD 2,048.</w:t>
      </w:r>
      <w:r w:rsidR="00213390" w:rsidRPr="00632B94">
        <w:rPr>
          <w:noProof/>
        </w:rPr>
        <w:t>2</w:t>
      </w:r>
      <w:r w:rsidRPr="00632B94">
        <w:rPr>
          <w:noProof/>
        </w:rPr>
        <w:t xml:space="preserve"> million; intermediate consumption totaled USD 581.3 million; and the value added was USD 1,466.8 million.</w:t>
      </w:r>
    </w:p>
    <w:p w:rsidR="00EE63BF" w:rsidRDefault="00EE63BF" w:rsidP="009C68C8">
      <w:pPr>
        <w:pStyle w:val="ListParagraph"/>
        <w:bidi w:val="0"/>
        <w:ind w:left="0"/>
        <w:jc w:val="lowKashida"/>
        <w:rPr>
          <w:rFonts w:cs="Times New Roman"/>
          <w:i/>
          <w:iCs/>
          <w:sz w:val="20"/>
          <w:u w:val="single"/>
        </w:rPr>
      </w:pPr>
    </w:p>
    <w:p w:rsidR="00725C87" w:rsidRPr="00332048" w:rsidRDefault="008874A9" w:rsidP="00EE63BF">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w:t>
      </w:r>
      <w:r w:rsidR="00E33DF0" w:rsidRPr="00332048">
        <w:rPr>
          <w:rFonts w:cs="Times New Roman"/>
          <w:b/>
          <w:bCs/>
          <w:i/>
          <w:iCs/>
          <w:sz w:val="18"/>
          <w:szCs w:val="18"/>
          <w:u w:val="single"/>
        </w:rPr>
        <w:t>s</w:t>
      </w:r>
      <w:r w:rsidRPr="00332048">
        <w:rPr>
          <w:rFonts w:cs="Times New Roman"/>
          <w:b/>
          <w:bCs/>
          <w:i/>
          <w:iCs/>
          <w:sz w:val="18"/>
          <w:szCs w:val="18"/>
          <w:u w:val="single"/>
        </w:rPr>
        <w:t xml:space="preserve"> </w:t>
      </w:r>
      <w:r w:rsidR="00E33DF0" w:rsidRPr="00332048">
        <w:rPr>
          <w:rFonts w:cs="Times New Roman"/>
          <w:b/>
          <w:bCs/>
          <w:i/>
          <w:iCs/>
          <w:sz w:val="18"/>
          <w:szCs w:val="18"/>
          <w:u w:val="single"/>
        </w:rPr>
        <w:t>on the s</w:t>
      </w:r>
      <w:r w:rsidR="006C0C7B" w:rsidRPr="00332048">
        <w:rPr>
          <w:rFonts w:cs="Times New Roman"/>
          <w:b/>
          <w:bCs/>
          <w:i/>
          <w:iCs/>
          <w:sz w:val="18"/>
          <w:szCs w:val="18"/>
          <w:u w:val="single"/>
        </w:rPr>
        <w:t>ervices</w:t>
      </w:r>
      <w:r w:rsidR="0023449A" w:rsidRPr="00332048">
        <w:rPr>
          <w:rFonts w:cs="Times New Roman"/>
          <w:b/>
          <w:bCs/>
          <w:i/>
          <w:iCs/>
          <w:sz w:val="18"/>
          <w:szCs w:val="18"/>
          <w:u w:val="single"/>
        </w:rPr>
        <w:t xml:space="preserve"> sector,</w:t>
      </w:r>
      <w:r w:rsidRPr="00332048">
        <w:rPr>
          <w:rFonts w:cs="Times New Roman"/>
          <w:b/>
          <w:bCs/>
          <w:i/>
          <w:iCs/>
          <w:sz w:val="18"/>
          <w:szCs w:val="18"/>
          <w:u w:val="single"/>
        </w:rPr>
        <w:t xml:space="preserve"> </w:t>
      </w:r>
      <w:r w:rsidR="0037009A" w:rsidRPr="00332048">
        <w:rPr>
          <w:rFonts w:cs="Times New Roman"/>
          <w:b/>
          <w:bCs/>
          <w:i/>
          <w:iCs/>
          <w:sz w:val="18"/>
          <w:szCs w:val="18"/>
          <w:u w:val="single"/>
        </w:rPr>
        <w:t xml:space="preserve">see </w:t>
      </w:r>
      <w:r w:rsidR="0023449A" w:rsidRPr="00332048">
        <w:rPr>
          <w:rFonts w:cs="Times New Roman"/>
          <w:b/>
          <w:bCs/>
          <w:i/>
          <w:iCs/>
          <w:sz w:val="18"/>
          <w:szCs w:val="18"/>
          <w:u w:val="single"/>
        </w:rPr>
        <w:t xml:space="preserve">the </w:t>
      </w:r>
      <w:r w:rsidR="0037009A" w:rsidRPr="00332048">
        <w:rPr>
          <w:rFonts w:cs="Times New Roman"/>
          <w:b/>
          <w:bCs/>
          <w:i/>
          <w:iCs/>
          <w:sz w:val="18"/>
          <w:szCs w:val="18"/>
          <w:u w:val="single"/>
        </w:rPr>
        <w:t xml:space="preserve">tables </w:t>
      </w:r>
      <w:r w:rsidRPr="00332048">
        <w:rPr>
          <w:rFonts w:cs="Times New Roman"/>
          <w:b/>
          <w:bCs/>
          <w:i/>
          <w:iCs/>
          <w:sz w:val="18"/>
          <w:szCs w:val="18"/>
          <w:u w:val="single"/>
        </w:rPr>
        <w:t>in chapter 1.</w:t>
      </w:r>
      <w:r w:rsidR="000C5F6C" w:rsidRPr="00332048">
        <w:rPr>
          <w:rFonts w:cs="Times New Roman"/>
          <w:b/>
          <w:bCs/>
          <w:i/>
          <w:iCs/>
          <w:sz w:val="18"/>
          <w:szCs w:val="18"/>
          <w:u w:val="single"/>
        </w:rPr>
        <w:t>2</w:t>
      </w:r>
      <w:r w:rsidR="00EE63BF" w:rsidRPr="00332048">
        <w:rPr>
          <w:rFonts w:cs="Times New Roman"/>
          <w:b/>
          <w:bCs/>
          <w:i/>
          <w:iCs/>
          <w:sz w:val="18"/>
          <w:szCs w:val="18"/>
          <w:u w:val="single"/>
        </w:rPr>
        <w:t>1</w:t>
      </w:r>
      <w:r w:rsidRPr="00332048">
        <w:rPr>
          <w:rFonts w:cs="Times New Roman"/>
          <w:b/>
          <w:bCs/>
          <w:i/>
          <w:iCs/>
          <w:sz w:val="18"/>
          <w:szCs w:val="18"/>
          <w:u w:val="single"/>
        </w:rPr>
        <w:t xml:space="preserve"> </w:t>
      </w:r>
      <w:r w:rsidR="0023449A" w:rsidRPr="00332048">
        <w:rPr>
          <w:rFonts w:cs="Times New Roman"/>
          <w:b/>
          <w:bCs/>
          <w:i/>
          <w:iCs/>
          <w:sz w:val="18"/>
          <w:szCs w:val="18"/>
          <w:u w:val="single"/>
        </w:rPr>
        <w:t xml:space="preserve">of the </w:t>
      </w:r>
      <w:r w:rsidR="00654A09" w:rsidRPr="00332048">
        <w:rPr>
          <w:rFonts w:cs="Times New Roman"/>
          <w:b/>
          <w:bCs/>
          <w:i/>
          <w:iCs/>
          <w:sz w:val="18"/>
          <w:szCs w:val="18"/>
          <w:u w:val="single"/>
        </w:rPr>
        <w:t>Arabic</w:t>
      </w:r>
      <w:r w:rsidRPr="00332048">
        <w:rPr>
          <w:rFonts w:cs="Times New Roman"/>
          <w:b/>
          <w:bCs/>
          <w:i/>
          <w:iCs/>
          <w:sz w:val="18"/>
          <w:szCs w:val="18"/>
          <w:u w:val="single"/>
        </w:rPr>
        <w:t xml:space="preserve"> </w:t>
      </w:r>
      <w:r w:rsidR="0023449A" w:rsidRPr="00332048">
        <w:rPr>
          <w:rFonts w:cs="Times New Roman"/>
          <w:b/>
          <w:bCs/>
          <w:i/>
          <w:iCs/>
          <w:sz w:val="18"/>
          <w:szCs w:val="18"/>
          <w:u w:val="single"/>
        </w:rPr>
        <w:t xml:space="preserve">section, </w:t>
      </w:r>
      <w:r w:rsidRPr="00332048">
        <w:rPr>
          <w:rFonts w:cs="Times New Roman"/>
          <w:b/>
          <w:bCs/>
          <w:i/>
          <w:iCs/>
          <w:sz w:val="18"/>
          <w:szCs w:val="18"/>
          <w:u w:val="single"/>
        </w:rPr>
        <w:t>page</w:t>
      </w:r>
      <w:r w:rsidR="0023449A" w:rsidRPr="00332048">
        <w:rPr>
          <w:rFonts w:cs="Times New Roman"/>
          <w:b/>
          <w:bCs/>
          <w:i/>
          <w:iCs/>
          <w:sz w:val="18"/>
          <w:szCs w:val="18"/>
          <w:u w:val="single"/>
        </w:rPr>
        <w:t>s</w:t>
      </w:r>
      <w:r w:rsidR="006C0C7B" w:rsidRPr="00332048">
        <w:rPr>
          <w:rFonts w:cs="Times New Roman"/>
          <w:b/>
          <w:bCs/>
          <w:i/>
          <w:iCs/>
          <w:sz w:val="18"/>
          <w:szCs w:val="18"/>
          <w:u w:val="single"/>
        </w:rPr>
        <w:t xml:space="preserve"> </w:t>
      </w:r>
      <w:r w:rsidR="009C68C8" w:rsidRPr="00332048">
        <w:rPr>
          <w:rFonts w:cs="Times New Roman"/>
          <w:b/>
          <w:bCs/>
          <w:i/>
          <w:iCs/>
          <w:sz w:val="18"/>
          <w:szCs w:val="18"/>
          <w:u w:val="single"/>
        </w:rPr>
        <w:t>22</w:t>
      </w:r>
      <w:r w:rsidR="00EE63BF" w:rsidRPr="00332048">
        <w:rPr>
          <w:rFonts w:cs="Times New Roman"/>
          <w:b/>
          <w:bCs/>
          <w:i/>
          <w:iCs/>
          <w:sz w:val="18"/>
          <w:szCs w:val="18"/>
          <w:u w:val="single"/>
        </w:rPr>
        <w:t>7</w:t>
      </w:r>
      <w:r w:rsidR="006C0C7B" w:rsidRPr="00332048">
        <w:rPr>
          <w:rFonts w:cs="Times New Roman"/>
          <w:b/>
          <w:bCs/>
          <w:i/>
          <w:iCs/>
          <w:sz w:val="18"/>
          <w:szCs w:val="18"/>
          <w:u w:val="single"/>
        </w:rPr>
        <w:t>-</w:t>
      </w:r>
      <w:r w:rsidR="009C68C8" w:rsidRPr="00332048">
        <w:rPr>
          <w:rFonts w:cs="Times New Roman"/>
          <w:b/>
          <w:bCs/>
          <w:i/>
          <w:iCs/>
          <w:sz w:val="18"/>
          <w:szCs w:val="18"/>
          <w:u w:val="single"/>
        </w:rPr>
        <w:t>2</w:t>
      </w:r>
      <w:r w:rsidR="00EE63BF" w:rsidRPr="00332048">
        <w:rPr>
          <w:rFonts w:cs="Times New Roman"/>
          <w:b/>
          <w:bCs/>
          <w:i/>
          <w:iCs/>
          <w:sz w:val="18"/>
          <w:szCs w:val="18"/>
          <w:u w:val="single"/>
        </w:rPr>
        <w:t>30</w:t>
      </w:r>
      <w:r w:rsidR="0023449A" w:rsidRPr="00332048">
        <w:rPr>
          <w:rFonts w:cs="Times New Roman"/>
          <w:b/>
          <w:bCs/>
          <w:i/>
          <w:iCs/>
          <w:sz w:val="18"/>
          <w:szCs w:val="18"/>
          <w:u w:val="single"/>
        </w:rPr>
        <w:t>.</w:t>
      </w:r>
    </w:p>
    <w:p w:rsidR="00FE0777" w:rsidRPr="00632B94" w:rsidRDefault="00FE0777" w:rsidP="00FE0777">
      <w:pPr>
        <w:pStyle w:val="ListParagraph"/>
        <w:bidi w:val="0"/>
        <w:ind w:left="0"/>
        <w:jc w:val="lowKashida"/>
        <w:rPr>
          <w:rFonts w:cs="Times New Roman"/>
          <w:i/>
          <w:iCs/>
          <w:sz w:val="20"/>
          <w:u w:val="single"/>
        </w:rPr>
      </w:pPr>
    </w:p>
    <w:p w:rsidR="0053270D" w:rsidRDefault="0053270D" w:rsidP="0053270D">
      <w:pPr>
        <w:pStyle w:val="Title"/>
        <w:tabs>
          <w:tab w:val="right" w:pos="308"/>
        </w:tabs>
        <w:bidi w:val="0"/>
        <w:ind w:left="252"/>
        <w:jc w:val="left"/>
        <w:rPr>
          <w:rFonts w:cs="Traditional Arabic"/>
          <w:sz w:val="20"/>
          <w:szCs w:val="20"/>
        </w:rPr>
      </w:pPr>
    </w:p>
    <w:p w:rsidR="001F2744" w:rsidRPr="00632B94" w:rsidRDefault="001F2744" w:rsidP="0053270D">
      <w:pPr>
        <w:pStyle w:val="Title"/>
        <w:numPr>
          <w:ilvl w:val="0"/>
          <w:numId w:val="19"/>
        </w:numPr>
        <w:tabs>
          <w:tab w:val="right" w:pos="308"/>
        </w:tabs>
        <w:bidi w:val="0"/>
        <w:ind w:left="252" w:hanging="252"/>
        <w:jc w:val="left"/>
        <w:rPr>
          <w:rFonts w:cs="Traditional Arabic"/>
          <w:sz w:val="20"/>
          <w:szCs w:val="20"/>
        </w:rPr>
      </w:pPr>
      <w:r w:rsidRPr="00632B94">
        <w:rPr>
          <w:rFonts w:cs="Traditional Arabic"/>
          <w:sz w:val="20"/>
          <w:szCs w:val="20"/>
        </w:rPr>
        <w:t>Internal  Trade</w:t>
      </w:r>
    </w:p>
    <w:p w:rsidR="007E4672" w:rsidRPr="00632B94" w:rsidRDefault="007E4672"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In 2017, there were </w:t>
      </w:r>
      <w:r w:rsidRPr="00632B94">
        <w:rPr>
          <w:rFonts w:hint="cs"/>
          <w:noProof/>
          <w:rtl/>
        </w:rPr>
        <w:t>75</w:t>
      </w:r>
      <w:r w:rsidRPr="00632B94">
        <w:rPr>
          <w:noProof/>
        </w:rPr>
        <w:t>,</w:t>
      </w:r>
      <w:r w:rsidRPr="00632B94">
        <w:rPr>
          <w:rFonts w:hint="cs"/>
          <w:noProof/>
          <w:rtl/>
        </w:rPr>
        <w:t>630</w:t>
      </w:r>
      <w:r w:rsidRPr="00632B94">
        <w:rPr>
          <w:noProof/>
        </w:rPr>
        <w:t xml:space="preserve"> enterprises engaged in this sector in Palestine.</w:t>
      </w:r>
    </w:p>
    <w:p w:rsidR="007E4672" w:rsidRPr="00632B94" w:rsidRDefault="007E4672"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In 2017, there were </w:t>
      </w:r>
      <w:r w:rsidRPr="00632B94">
        <w:rPr>
          <w:rFonts w:hint="cs"/>
          <w:noProof/>
          <w:rtl/>
        </w:rPr>
        <w:t>175</w:t>
      </w:r>
      <w:r w:rsidRPr="00632B94">
        <w:rPr>
          <w:noProof/>
        </w:rPr>
        <w:t>,</w:t>
      </w:r>
      <w:r w:rsidRPr="00632B94">
        <w:rPr>
          <w:rFonts w:hint="cs"/>
          <w:noProof/>
          <w:rtl/>
        </w:rPr>
        <w:t>634</w:t>
      </w:r>
      <w:r w:rsidRPr="00632B94">
        <w:rPr>
          <w:noProof/>
        </w:rPr>
        <w:t xml:space="preserve"> employed persons in this sector.</w:t>
      </w:r>
    </w:p>
    <w:p w:rsidR="007E4672" w:rsidRPr="00632B94" w:rsidRDefault="007E4672" w:rsidP="00FE759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value of the enterprises output in internal trade activities was USD </w:t>
      </w:r>
      <w:r w:rsidRPr="00632B94">
        <w:rPr>
          <w:rFonts w:hint="cs"/>
          <w:noProof/>
          <w:rtl/>
        </w:rPr>
        <w:t>4</w:t>
      </w:r>
      <w:r w:rsidRPr="00632B94">
        <w:rPr>
          <w:noProof/>
        </w:rPr>
        <w:t>,</w:t>
      </w:r>
      <w:r w:rsidRPr="00632B94">
        <w:rPr>
          <w:rFonts w:hint="cs"/>
          <w:noProof/>
          <w:rtl/>
        </w:rPr>
        <w:t>002.</w:t>
      </w:r>
      <w:r w:rsidR="00FE7598">
        <w:rPr>
          <w:noProof/>
        </w:rPr>
        <w:t>7</w:t>
      </w:r>
      <w:r w:rsidRPr="00632B94">
        <w:rPr>
          <w:noProof/>
          <w:rtl/>
        </w:rPr>
        <w:t xml:space="preserve"> </w:t>
      </w:r>
      <w:r w:rsidRPr="00632B94">
        <w:rPr>
          <w:noProof/>
        </w:rPr>
        <w:t xml:space="preserve"> million; intermediate consumption totaled USD 736.</w:t>
      </w:r>
      <w:r w:rsidR="00213390" w:rsidRPr="00632B94">
        <w:rPr>
          <w:noProof/>
        </w:rPr>
        <w:t>9</w:t>
      </w:r>
      <w:r w:rsidRPr="00632B94">
        <w:rPr>
          <w:noProof/>
        </w:rPr>
        <w:t xml:space="preserve"> million; and the value added was USD 3,265.8 million.</w:t>
      </w:r>
    </w:p>
    <w:p w:rsidR="00EE63BF" w:rsidRDefault="00EE63BF" w:rsidP="009C6CC8">
      <w:pPr>
        <w:pStyle w:val="ListParagraph"/>
        <w:bidi w:val="0"/>
        <w:ind w:left="0"/>
        <w:jc w:val="lowKashida"/>
        <w:rPr>
          <w:rFonts w:cs="Times New Roman"/>
          <w:i/>
          <w:iCs/>
          <w:sz w:val="20"/>
          <w:u w:val="single"/>
        </w:rPr>
      </w:pPr>
    </w:p>
    <w:p w:rsidR="008874A9" w:rsidRPr="00332048" w:rsidRDefault="008874A9" w:rsidP="0057632D">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w:t>
      </w:r>
      <w:r w:rsidR="00B21173" w:rsidRPr="00332048">
        <w:rPr>
          <w:rFonts w:cs="Times New Roman"/>
          <w:b/>
          <w:bCs/>
          <w:i/>
          <w:iCs/>
          <w:sz w:val="18"/>
          <w:szCs w:val="18"/>
          <w:u w:val="single"/>
        </w:rPr>
        <w:t>s on</w:t>
      </w:r>
      <w:r w:rsidRPr="00332048">
        <w:rPr>
          <w:rFonts w:cs="Times New Roman"/>
          <w:b/>
          <w:bCs/>
          <w:i/>
          <w:iCs/>
          <w:sz w:val="18"/>
          <w:szCs w:val="18"/>
          <w:u w:val="single"/>
        </w:rPr>
        <w:t xml:space="preserve"> </w:t>
      </w:r>
      <w:r w:rsidR="00F36E5D" w:rsidRPr="00F36E5D">
        <w:rPr>
          <w:rFonts w:cs="Times New Roman"/>
          <w:b/>
          <w:bCs/>
          <w:i/>
          <w:iCs/>
          <w:sz w:val="18"/>
          <w:szCs w:val="18"/>
          <w:u w:val="single"/>
        </w:rPr>
        <w:t xml:space="preserve">Internal  </w:t>
      </w:r>
      <w:r w:rsidR="00B21173" w:rsidRPr="00332048">
        <w:rPr>
          <w:rFonts w:cs="Times New Roman"/>
          <w:b/>
          <w:bCs/>
          <w:i/>
          <w:iCs/>
          <w:sz w:val="18"/>
          <w:szCs w:val="18"/>
          <w:u w:val="single"/>
        </w:rPr>
        <w:t>trade,</w:t>
      </w:r>
      <w:r w:rsidRPr="00332048">
        <w:rPr>
          <w:rFonts w:cs="Times New Roman"/>
          <w:b/>
          <w:bCs/>
          <w:i/>
          <w:iCs/>
          <w:sz w:val="18"/>
          <w:szCs w:val="18"/>
          <w:u w:val="single"/>
        </w:rPr>
        <w:t xml:space="preserve"> </w:t>
      </w:r>
      <w:r w:rsidR="0037009A" w:rsidRPr="00332048">
        <w:rPr>
          <w:rFonts w:cs="Times New Roman"/>
          <w:b/>
          <w:bCs/>
          <w:i/>
          <w:iCs/>
          <w:sz w:val="18"/>
          <w:szCs w:val="18"/>
          <w:u w:val="single"/>
        </w:rPr>
        <w:t xml:space="preserve">see </w:t>
      </w:r>
      <w:r w:rsidR="00B21173" w:rsidRPr="00332048">
        <w:rPr>
          <w:rFonts w:cs="Times New Roman"/>
          <w:b/>
          <w:bCs/>
          <w:i/>
          <w:iCs/>
          <w:sz w:val="18"/>
          <w:szCs w:val="18"/>
          <w:u w:val="single"/>
        </w:rPr>
        <w:t xml:space="preserve">the </w:t>
      </w:r>
      <w:r w:rsidR="0037009A" w:rsidRPr="00332048">
        <w:rPr>
          <w:rFonts w:cs="Times New Roman"/>
          <w:b/>
          <w:bCs/>
          <w:i/>
          <w:iCs/>
          <w:sz w:val="18"/>
          <w:szCs w:val="18"/>
          <w:u w:val="single"/>
        </w:rPr>
        <w:t xml:space="preserve">tables </w:t>
      </w:r>
      <w:r w:rsidRPr="00332048">
        <w:rPr>
          <w:rFonts w:cs="Times New Roman"/>
          <w:b/>
          <w:bCs/>
          <w:i/>
          <w:iCs/>
          <w:sz w:val="18"/>
          <w:szCs w:val="18"/>
          <w:u w:val="single"/>
        </w:rPr>
        <w:t>in chapter 1.</w:t>
      </w:r>
      <w:r w:rsidR="006C0C7B" w:rsidRPr="00332048">
        <w:rPr>
          <w:rFonts w:cs="Times New Roman"/>
          <w:b/>
          <w:bCs/>
          <w:i/>
          <w:iCs/>
          <w:sz w:val="18"/>
          <w:szCs w:val="18"/>
          <w:u w:val="single"/>
        </w:rPr>
        <w:t>2</w:t>
      </w:r>
      <w:r w:rsidR="00EE63BF" w:rsidRPr="00332048">
        <w:rPr>
          <w:rFonts w:cs="Times New Roman"/>
          <w:b/>
          <w:bCs/>
          <w:i/>
          <w:iCs/>
          <w:sz w:val="18"/>
          <w:szCs w:val="18"/>
          <w:u w:val="single"/>
        </w:rPr>
        <w:t>2</w:t>
      </w:r>
      <w:r w:rsidRPr="00332048">
        <w:rPr>
          <w:rFonts w:cs="Times New Roman"/>
          <w:b/>
          <w:bCs/>
          <w:i/>
          <w:iCs/>
          <w:sz w:val="18"/>
          <w:szCs w:val="18"/>
          <w:u w:val="single"/>
        </w:rPr>
        <w:t xml:space="preserve"> </w:t>
      </w:r>
      <w:r w:rsidR="00B21173" w:rsidRPr="00332048">
        <w:rPr>
          <w:rFonts w:cs="Times New Roman"/>
          <w:b/>
          <w:bCs/>
          <w:i/>
          <w:iCs/>
          <w:sz w:val="18"/>
          <w:szCs w:val="18"/>
          <w:u w:val="single"/>
        </w:rPr>
        <w:t xml:space="preserve">of the </w:t>
      </w:r>
      <w:r w:rsidR="00654A09" w:rsidRPr="00332048">
        <w:rPr>
          <w:rFonts w:cs="Times New Roman"/>
          <w:b/>
          <w:bCs/>
          <w:i/>
          <w:iCs/>
          <w:sz w:val="18"/>
          <w:szCs w:val="18"/>
          <w:u w:val="single"/>
        </w:rPr>
        <w:t>Arabic</w:t>
      </w:r>
      <w:r w:rsidRPr="00332048">
        <w:rPr>
          <w:rFonts w:cs="Times New Roman"/>
          <w:b/>
          <w:bCs/>
          <w:i/>
          <w:iCs/>
          <w:sz w:val="18"/>
          <w:szCs w:val="18"/>
          <w:u w:val="single"/>
        </w:rPr>
        <w:t xml:space="preserve"> </w:t>
      </w:r>
      <w:r w:rsidR="00B21173" w:rsidRPr="00332048">
        <w:rPr>
          <w:rFonts w:cs="Times New Roman"/>
          <w:b/>
          <w:bCs/>
          <w:i/>
          <w:iCs/>
          <w:sz w:val="18"/>
          <w:szCs w:val="18"/>
          <w:u w:val="single"/>
        </w:rPr>
        <w:t xml:space="preserve">section, </w:t>
      </w:r>
      <w:r w:rsidRPr="00332048">
        <w:rPr>
          <w:rFonts w:cs="Times New Roman"/>
          <w:b/>
          <w:bCs/>
          <w:i/>
          <w:iCs/>
          <w:sz w:val="18"/>
          <w:szCs w:val="18"/>
          <w:u w:val="single"/>
        </w:rPr>
        <w:t>page</w:t>
      </w:r>
      <w:r w:rsidR="00B21173" w:rsidRPr="00332048">
        <w:rPr>
          <w:rFonts w:cs="Times New Roman"/>
          <w:b/>
          <w:bCs/>
          <w:i/>
          <w:iCs/>
          <w:sz w:val="18"/>
          <w:szCs w:val="18"/>
          <w:u w:val="single"/>
        </w:rPr>
        <w:t>s</w:t>
      </w:r>
      <w:r w:rsidR="009C6CC8" w:rsidRPr="00332048">
        <w:rPr>
          <w:rFonts w:cs="Times New Roman"/>
          <w:b/>
          <w:bCs/>
          <w:i/>
          <w:iCs/>
          <w:sz w:val="18"/>
          <w:szCs w:val="18"/>
          <w:u w:val="single"/>
        </w:rPr>
        <w:t xml:space="preserve">    </w:t>
      </w:r>
      <w:r w:rsidR="006C0C7B" w:rsidRPr="00332048">
        <w:rPr>
          <w:rFonts w:cs="Times New Roman"/>
          <w:b/>
          <w:bCs/>
          <w:i/>
          <w:iCs/>
          <w:sz w:val="18"/>
          <w:szCs w:val="18"/>
          <w:u w:val="single"/>
        </w:rPr>
        <w:t xml:space="preserve"> </w:t>
      </w:r>
      <w:r w:rsidR="00F17F36" w:rsidRPr="00332048">
        <w:rPr>
          <w:rFonts w:cs="Times New Roman"/>
          <w:b/>
          <w:bCs/>
          <w:i/>
          <w:iCs/>
          <w:sz w:val="18"/>
          <w:szCs w:val="18"/>
          <w:u w:val="single"/>
        </w:rPr>
        <w:t>2</w:t>
      </w:r>
      <w:r w:rsidR="00EE63BF" w:rsidRPr="00332048">
        <w:rPr>
          <w:rFonts w:cs="Times New Roman"/>
          <w:b/>
          <w:bCs/>
          <w:i/>
          <w:iCs/>
          <w:sz w:val="18"/>
          <w:szCs w:val="18"/>
          <w:u w:val="single"/>
        </w:rPr>
        <w:t>31</w:t>
      </w:r>
      <w:r w:rsidR="006C0C7B" w:rsidRPr="00332048">
        <w:rPr>
          <w:rFonts w:cs="Times New Roman"/>
          <w:b/>
          <w:bCs/>
          <w:i/>
          <w:iCs/>
          <w:sz w:val="18"/>
          <w:szCs w:val="18"/>
          <w:u w:val="single"/>
        </w:rPr>
        <w:t>-</w:t>
      </w:r>
      <w:r w:rsidR="009C6CC8" w:rsidRPr="00332048">
        <w:rPr>
          <w:rFonts w:cs="Times New Roman"/>
          <w:b/>
          <w:bCs/>
          <w:i/>
          <w:iCs/>
          <w:sz w:val="18"/>
          <w:szCs w:val="18"/>
          <w:u w:val="single"/>
        </w:rPr>
        <w:t>23</w:t>
      </w:r>
      <w:r w:rsidR="0057632D">
        <w:rPr>
          <w:rFonts w:cs="Times New Roman"/>
          <w:b/>
          <w:bCs/>
          <w:i/>
          <w:iCs/>
          <w:sz w:val="18"/>
          <w:szCs w:val="18"/>
          <w:u w:val="single"/>
        </w:rPr>
        <w:t>4</w:t>
      </w:r>
      <w:r w:rsidR="00B21173" w:rsidRPr="00332048">
        <w:rPr>
          <w:rFonts w:cs="Times New Roman"/>
          <w:b/>
          <w:bCs/>
          <w:i/>
          <w:iCs/>
          <w:sz w:val="18"/>
          <w:szCs w:val="18"/>
          <w:u w:val="single"/>
        </w:rPr>
        <w:t>.</w:t>
      </w:r>
    </w:p>
    <w:p w:rsidR="005F6984" w:rsidRPr="00F36E5D" w:rsidRDefault="005F6984" w:rsidP="005F6984">
      <w:pPr>
        <w:pStyle w:val="ListParagraph"/>
        <w:bidi w:val="0"/>
        <w:ind w:left="0"/>
        <w:jc w:val="lowKashida"/>
        <w:rPr>
          <w:rFonts w:cs="Times New Roman"/>
          <w:b/>
          <w:bCs/>
          <w:i/>
          <w:iCs/>
          <w:sz w:val="18"/>
          <w:szCs w:val="18"/>
          <w:u w:val="single"/>
        </w:rPr>
      </w:pPr>
    </w:p>
    <w:p w:rsidR="00F11EE2" w:rsidRPr="00632B94" w:rsidRDefault="00F11EE2" w:rsidP="00332048">
      <w:pPr>
        <w:pStyle w:val="Title"/>
        <w:numPr>
          <w:ilvl w:val="0"/>
          <w:numId w:val="19"/>
        </w:numPr>
        <w:tabs>
          <w:tab w:val="right" w:pos="308"/>
        </w:tabs>
        <w:bidi w:val="0"/>
        <w:ind w:left="252" w:hanging="252"/>
        <w:jc w:val="left"/>
        <w:rPr>
          <w:rFonts w:cs="Traditional Arabic"/>
          <w:sz w:val="20"/>
          <w:szCs w:val="20"/>
        </w:rPr>
      </w:pPr>
      <w:r w:rsidRPr="00632B94">
        <w:rPr>
          <w:rFonts w:cs="Traditional Arabic"/>
          <w:sz w:val="20"/>
          <w:szCs w:val="20"/>
        </w:rPr>
        <w:t>Registered Foreign Trade</w:t>
      </w:r>
    </w:p>
    <w:p w:rsidR="006324BE" w:rsidRPr="00632B94" w:rsidRDefault="006324BE"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total value of registered imported goods in 2017 was USD </w:t>
      </w:r>
      <w:r w:rsidRPr="00332048">
        <w:rPr>
          <w:noProof/>
        </w:rPr>
        <w:t xml:space="preserve">5,853.9 </w:t>
      </w:r>
      <w:r w:rsidRPr="00632B94">
        <w:rPr>
          <w:noProof/>
        </w:rPr>
        <w:t xml:space="preserve">million, which marks an increase of 9.1% compared </w:t>
      </w:r>
      <w:r w:rsidR="00A82C9F">
        <w:rPr>
          <w:noProof/>
        </w:rPr>
        <w:t>with</w:t>
      </w:r>
      <w:r w:rsidR="00A82C9F" w:rsidRPr="00632B94">
        <w:rPr>
          <w:noProof/>
        </w:rPr>
        <w:t xml:space="preserve"> </w:t>
      </w:r>
      <w:r w:rsidRPr="00632B94">
        <w:rPr>
          <w:noProof/>
        </w:rPr>
        <w:t>2016.</w:t>
      </w:r>
    </w:p>
    <w:p w:rsidR="006324BE" w:rsidRPr="00632B94" w:rsidRDefault="006324BE"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registered exported goods totaled USD </w:t>
      </w:r>
      <w:r w:rsidRPr="00332048">
        <w:rPr>
          <w:rFonts w:hint="cs"/>
          <w:noProof/>
          <w:rtl/>
        </w:rPr>
        <w:t>1,064.9</w:t>
      </w:r>
      <w:r w:rsidRPr="00632B94">
        <w:rPr>
          <w:noProof/>
        </w:rPr>
        <w:t xml:space="preserve"> million marking an increase of 14.9% compared </w:t>
      </w:r>
      <w:r w:rsidR="00A82C9F">
        <w:rPr>
          <w:noProof/>
        </w:rPr>
        <w:t>with</w:t>
      </w:r>
      <w:r w:rsidR="00A82C9F" w:rsidRPr="00632B94">
        <w:rPr>
          <w:noProof/>
        </w:rPr>
        <w:t xml:space="preserve"> </w:t>
      </w:r>
      <w:r w:rsidRPr="00632B94">
        <w:rPr>
          <w:noProof/>
        </w:rPr>
        <w:t xml:space="preserve">2016. </w:t>
      </w:r>
    </w:p>
    <w:p w:rsidR="006324BE" w:rsidRPr="00632B94" w:rsidRDefault="006324BE"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In 2017, the deficit in the net trade balance in goods totaled USD 4,789 million, showing an increase of 7.9% compared </w:t>
      </w:r>
      <w:r w:rsidR="00A82C9F">
        <w:rPr>
          <w:noProof/>
        </w:rPr>
        <w:t>with</w:t>
      </w:r>
      <w:r w:rsidR="00A82C9F" w:rsidRPr="00632B94">
        <w:rPr>
          <w:noProof/>
        </w:rPr>
        <w:t xml:space="preserve"> </w:t>
      </w:r>
      <w:r w:rsidRPr="00632B94">
        <w:rPr>
          <w:noProof/>
        </w:rPr>
        <w:t>2016</w:t>
      </w:r>
    </w:p>
    <w:p w:rsidR="005F6984" w:rsidRPr="00632B94" w:rsidRDefault="005F6984" w:rsidP="005F6984">
      <w:pPr>
        <w:pStyle w:val="ListParagraph"/>
      </w:pPr>
    </w:p>
    <w:p w:rsidR="00D967E7" w:rsidRDefault="00D967E7" w:rsidP="0053270D">
      <w:pPr>
        <w:pStyle w:val="Header"/>
        <w:tabs>
          <w:tab w:val="clear" w:pos="4153"/>
          <w:tab w:val="clear" w:pos="8306"/>
        </w:tabs>
        <w:jc w:val="center"/>
        <w:rPr>
          <w:b/>
          <w:bCs/>
          <w:sz w:val="18"/>
          <w:szCs w:val="18"/>
        </w:rPr>
      </w:pPr>
      <w:r w:rsidRPr="00632B94">
        <w:rPr>
          <w:b/>
          <w:bCs/>
          <w:sz w:val="18"/>
          <w:szCs w:val="18"/>
        </w:rPr>
        <w:t>Value of Registered Imports, Exports and Net Trade Balance</w:t>
      </w:r>
      <w:r w:rsidR="0053270D">
        <w:rPr>
          <w:b/>
          <w:bCs/>
          <w:sz w:val="18"/>
          <w:szCs w:val="18"/>
        </w:rPr>
        <w:t xml:space="preserve"> </w:t>
      </w:r>
      <w:r w:rsidR="0053270D" w:rsidRPr="00632B94">
        <w:rPr>
          <w:b/>
          <w:bCs/>
          <w:sz w:val="18"/>
          <w:szCs w:val="18"/>
        </w:rPr>
        <w:t>in Goods</w:t>
      </w:r>
      <w:r w:rsidRPr="00632B94">
        <w:rPr>
          <w:b/>
          <w:bCs/>
          <w:sz w:val="18"/>
          <w:szCs w:val="18"/>
        </w:rPr>
        <w:t xml:space="preserve"> in Palestine, 2000 – 2017</w:t>
      </w:r>
    </w:p>
    <w:p w:rsidR="00FE7598" w:rsidRPr="00FE7598" w:rsidRDefault="00FE7598" w:rsidP="005F6984">
      <w:pPr>
        <w:pStyle w:val="Header"/>
        <w:tabs>
          <w:tab w:val="clear" w:pos="4153"/>
          <w:tab w:val="clear" w:pos="8306"/>
        </w:tabs>
        <w:jc w:val="center"/>
        <w:rPr>
          <w:b/>
          <w:bCs/>
          <w:sz w:val="10"/>
          <w:szCs w:val="10"/>
        </w:rPr>
      </w:pPr>
    </w:p>
    <w:p w:rsidR="00D967E7" w:rsidRPr="00632B94" w:rsidRDefault="00D967E7" w:rsidP="00D967E7">
      <w:pPr>
        <w:jc w:val="center"/>
        <w:rPr>
          <w:rFonts w:ascii="Arial" w:hAnsi="Arial"/>
          <w:sz w:val="14"/>
          <w:szCs w:val="14"/>
        </w:rPr>
      </w:pPr>
      <w:r w:rsidRPr="00632B94">
        <w:rPr>
          <w:noProof/>
        </w:rPr>
        <w:drawing>
          <wp:inline distT="0" distB="0" distL="0" distR="0">
            <wp:extent cx="4680585" cy="2044700"/>
            <wp:effectExtent l="19050" t="0" r="24765" b="0"/>
            <wp:docPr id="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51705" w:rsidRPr="00151705" w:rsidRDefault="00151705" w:rsidP="00121893">
      <w:pPr>
        <w:jc w:val="lowKashida"/>
        <w:rPr>
          <w:rFonts w:ascii="Arial" w:hAnsi="Arial"/>
          <w:sz w:val="8"/>
          <w:szCs w:val="8"/>
        </w:rPr>
      </w:pPr>
    </w:p>
    <w:p w:rsidR="00121893" w:rsidRPr="00632B94" w:rsidRDefault="00121893" w:rsidP="00151705">
      <w:pPr>
        <w:jc w:val="lowKashida"/>
        <w:rPr>
          <w:sz w:val="14"/>
          <w:szCs w:val="14"/>
        </w:rPr>
      </w:pPr>
      <w:r w:rsidRPr="00632B94">
        <w:rPr>
          <w:rFonts w:ascii="Arial" w:hAnsi="Arial"/>
          <w:sz w:val="14"/>
          <w:szCs w:val="14"/>
        </w:rPr>
        <w:t>*:</w:t>
      </w:r>
      <w:r w:rsidRPr="00632B94">
        <w:rPr>
          <w:rFonts w:ascii="Arial" w:hAnsi="Arial" w:cs="Arial"/>
          <w:sz w:val="14"/>
          <w:szCs w:val="14"/>
        </w:rPr>
        <w:t xml:space="preserve"> </w:t>
      </w:r>
      <w:r w:rsidR="00151705" w:rsidRPr="003F41CF">
        <w:rPr>
          <w:rFonts w:ascii="Arial" w:hAnsi="Arial" w:cs="Arial"/>
          <w:sz w:val="14"/>
          <w:szCs w:val="14"/>
        </w:rPr>
        <w:t>Data exclude those parts of Jerusalem which were annexed by Israel Occupation in 1967</w:t>
      </w:r>
      <w:r w:rsidR="00151705">
        <w:rPr>
          <w:sz w:val="14"/>
          <w:szCs w:val="14"/>
        </w:rPr>
        <w:t>.</w:t>
      </w:r>
    </w:p>
    <w:p w:rsidR="00121893" w:rsidRPr="00632B94" w:rsidRDefault="00121893" w:rsidP="00121893">
      <w:pPr>
        <w:jc w:val="lowKashida"/>
        <w:rPr>
          <w:sz w:val="10"/>
          <w:szCs w:val="10"/>
        </w:rPr>
      </w:pPr>
    </w:p>
    <w:p w:rsidR="00121893" w:rsidRPr="008F6290" w:rsidRDefault="00121893" w:rsidP="008F6290">
      <w:pPr>
        <w:pStyle w:val="Title"/>
        <w:numPr>
          <w:ilvl w:val="0"/>
          <w:numId w:val="19"/>
        </w:numPr>
        <w:tabs>
          <w:tab w:val="right" w:pos="308"/>
        </w:tabs>
        <w:bidi w:val="0"/>
        <w:ind w:left="252" w:hanging="252"/>
        <w:jc w:val="left"/>
        <w:rPr>
          <w:rFonts w:cs="Times New Roman"/>
          <w:i/>
          <w:iCs/>
          <w:sz w:val="18"/>
          <w:szCs w:val="18"/>
          <w:u w:val="single"/>
        </w:rPr>
      </w:pPr>
      <w:r w:rsidRPr="00332048">
        <w:rPr>
          <w:rFonts w:cs="Times New Roman"/>
          <w:i/>
          <w:iCs/>
          <w:sz w:val="18"/>
          <w:szCs w:val="18"/>
          <w:u w:val="single"/>
        </w:rPr>
        <w:t xml:space="preserve">For more details on </w:t>
      </w:r>
      <w:r w:rsidR="008F6290" w:rsidRPr="008F6290">
        <w:rPr>
          <w:rFonts w:cs="Times New Roman"/>
          <w:i/>
          <w:iCs/>
          <w:sz w:val="18"/>
          <w:szCs w:val="18"/>
          <w:u w:val="single"/>
        </w:rPr>
        <w:t>Registered Foreign Trade</w:t>
      </w:r>
      <w:r w:rsidR="008F6290">
        <w:rPr>
          <w:rFonts w:cs="Times New Roman"/>
          <w:i/>
          <w:iCs/>
          <w:sz w:val="18"/>
          <w:szCs w:val="18"/>
          <w:u w:val="single"/>
        </w:rPr>
        <w:t xml:space="preserve"> </w:t>
      </w:r>
      <w:r w:rsidRPr="008F6290">
        <w:rPr>
          <w:rFonts w:cs="Times New Roman"/>
          <w:i/>
          <w:iCs/>
          <w:sz w:val="18"/>
          <w:szCs w:val="18"/>
          <w:u w:val="single"/>
        </w:rPr>
        <w:t>, see the tables in chapter 1.2</w:t>
      </w:r>
      <w:r w:rsidR="00EE63BF" w:rsidRPr="008F6290">
        <w:rPr>
          <w:rFonts w:cs="Times New Roman"/>
          <w:i/>
          <w:iCs/>
          <w:sz w:val="18"/>
          <w:szCs w:val="18"/>
          <w:u w:val="single"/>
        </w:rPr>
        <w:t>3</w:t>
      </w:r>
      <w:r w:rsidRPr="008F6290">
        <w:rPr>
          <w:rFonts w:cs="Times New Roman"/>
          <w:i/>
          <w:iCs/>
          <w:sz w:val="18"/>
          <w:szCs w:val="18"/>
          <w:u w:val="single"/>
        </w:rPr>
        <w:t xml:space="preserve"> of the Arabic section, pages </w:t>
      </w:r>
      <w:r w:rsidR="00C45804" w:rsidRPr="008F6290">
        <w:rPr>
          <w:rFonts w:cs="Times New Roman"/>
          <w:i/>
          <w:iCs/>
          <w:sz w:val="18"/>
          <w:szCs w:val="18"/>
          <w:u w:val="single"/>
        </w:rPr>
        <w:t xml:space="preserve">  </w:t>
      </w:r>
      <w:r w:rsidRPr="008F6290">
        <w:rPr>
          <w:rFonts w:cs="Times New Roman"/>
          <w:i/>
          <w:iCs/>
          <w:sz w:val="18"/>
          <w:szCs w:val="18"/>
          <w:u w:val="single"/>
        </w:rPr>
        <w:t>2</w:t>
      </w:r>
      <w:r w:rsidR="00C45804" w:rsidRPr="008F6290">
        <w:rPr>
          <w:rFonts w:cs="Times New Roman"/>
          <w:i/>
          <w:iCs/>
          <w:sz w:val="18"/>
          <w:szCs w:val="18"/>
          <w:u w:val="single"/>
        </w:rPr>
        <w:t>3</w:t>
      </w:r>
      <w:r w:rsidR="00EE63BF" w:rsidRPr="008F6290">
        <w:rPr>
          <w:rFonts w:cs="Times New Roman"/>
          <w:i/>
          <w:iCs/>
          <w:sz w:val="18"/>
          <w:szCs w:val="18"/>
          <w:u w:val="single"/>
        </w:rPr>
        <w:t>5</w:t>
      </w:r>
      <w:r w:rsidRPr="008F6290">
        <w:rPr>
          <w:rFonts w:cs="Times New Roman"/>
          <w:i/>
          <w:iCs/>
          <w:sz w:val="18"/>
          <w:szCs w:val="18"/>
          <w:u w:val="single"/>
        </w:rPr>
        <w:t>-</w:t>
      </w:r>
      <w:r w:rsidR="00C45804" w:rsidRPr="008F6290">
        <w:rPr>
          <w:rFonts w:cs="Times New Roman"/>
          <w:i/>
          <w:iCs/>
          <w:sz w:val="18"/>
          <w:szCs w:val="18"/>
          <w:u w:val="single"/>
        </w:rPr>
        <w:t>24</w:t>
      </w:r>
      <w:r w:rsidR="00EE63BF" w:rsidRPr="008F6290">
        <w:rPr>
          <w:rFonts w:cs="Times New Roman"/>
          <w:i/>
          <w:iCs/>
          <w:sz w:val="18"/>
          <w:szCs w:val="18"/>
          <w:u w:val="single"/>
        </w:rPr>
        <w:t>2</w:t>
      </w:r>
      <w:r w:rsidRPr="008F6290">
        <w:rPr>
          <w:rFonts w:cs="Times New Roman"/>
          <w:i/>
          <w:iCs/>
          <w:sz w:val="18"/>
          <w:szCs w:val="18"/>
          <w:u w:val="single"/>
        </w:rPr>
        <w:t>.</w:t>
      </w:r>
    </w:p>
    <w:p w:rsidR="00F11EE2" w:rsidRPr="00632B94" w:rsidRDefault="00F11EE2" w:rsidP="00F11EE2">
      <w:pPr>
        <w:pStyle w:val="ListParagraph"/>
        <w:bidi w:val="0"/>
        <w:ind w:left="0"/>
        <w:jc w:val="lowKashida"/>
        <w:rPr>
          <w:rFonts w:cs="Times New Roman"/>
          <w:i/>
          <w:iCs/>
          <w:sz w:val="10"/>
          <w:szCs w:val="10"/>
          <w:u w:val="single"/>
        </w:rPr>
      </w:pPr>
    </w:p>
    <w:p w:rsidR="002514FB" w:rsidRPr="00632B94" w:rsidRDefault="002514FB" w:rsidP="00332048">
      <w:pPr>
        <w:pStyle w:val="Title"/>
        <w:numPr>
          <w:ilvl w:val="0"/>
          <w:numId w:val="19"/>
        </w:numPr>
        <w:tabs>
          <w:tab w:val="right" w:pos="308"/>
        </w:tabs>
        <w:bidi w:val="0"/>
        <w:ind w:left="252" w:hanging="252"/>
        <w:jc w:val="left"/>
        <w:rPr>
          <w:rFonts w:cs="Traditional Arabic"/>
          <w:sz w:val="20"/>
          <w:szCs w:val="20"/>
          <w:rtl/>
        </w:rPr>
      </w:pPr>
      <w:r w:rsidRPr="00632B94">
        <w:rPr>
          <w:rFonts w:cs="Traditional Arabic"/>
          <w:sz w:val="20"/>
          <w:szCs w:val="20"/>
        </w:rPr>
        <w:t xml:space="preserve">Balance of Payments </w:t>
      </w:r>
    </w:p>
    <w:p w:rsidR="001E75CD" w:rsidRPr="00332048" w:rsidRDefault="001E75CD" w:rsidP="00332048">
      <w:pPr>
        <w:pStyle w:val="Title"/>
        <w:bidi w:val="0"/>
        <w:ind w:left="-210" w:firstLine="210"/>
        <w:jc w:val="left"/>
        <w:rPr>
          <w:rFonts w:cs="Traditional Arabic"/>
          <w:sz w:val="20"/>
          <w:szCs w:val="20"/>
        </w:rPr>
      </w:pPr>
      <w:r w:rsidRPr="00332048">
        <w:rPr>
          <w:rFonts w:cs="Traditional Arabic"/>
          <w:sz w:val="20"/>
          <w:szCs w:val="20"/>
        </w:rPr>
        <w:t>2</w:t>
      </w:r>
      <w:r w:rsidR="00332048">
        <w:rPr>
          <w:rFonts w:cs="Traditional Arabic"/>
          <w:sz w:val="20"/>
          <w:szCs w:val="20"/>
        </w:rPr>
        <w:t>4</w:t>
      </w:r>
      <w:r w:rsidRPr="00332048">
        <w:rPr>
          <w:rFonts w:cs="Traditional Arabic"/>
          <w:sz w:val="20"/>
          <w:szCs w:val="20"/>
        </w:rPr>
        <w:t>.1 Current Account</w:t>
      </w:r>
    </w:p>
    <w:p w:rsidR="001E75CD" w:rsidRPr="00632B94" w:rsidRDefault="001E75CD" w:rsidP="00332048">
      <w:pPr>
        <w:pStyle w:val="BodyText2"/>
        <w:numPr>
          <w:ilvl w:val="0"/>
          <w:numId w:val="2"/>
        </w:numPr>
        <w:overflowPunct/>
        <w:autoSpaceDE/>
        <w:autoSpaceDN/>
        <w:adjustRightInd/>
        <w:spacing w:after="120"/>
        <w:ind w:left="266" w:hanging="266"/>
        <w:textAlignment w:val="auto"/>
        <w:rPr>
          <w:noProof/>
        </w:rPr>
      </w:pPr>
      <w:r w:rsidRPr="00632B94">
        <w:rPr>
          <w:noProof/>
        </w:rPr>
        <w:t>The Palestinian balance of payments in 2017 recorded a deficit of USD 1,563.7 million in the current account (goods, services, income, current transfers) with 10.8% of the GDP in current prices in 2017 compared with a deficit of USD 1,941.3 million in 2016.</w:t>
      </w:r>
    </w:p>
    <w:p w:rsidR="001E75CD" w:rsidRPr="00632B94" w:rsidRDefault="001E75CD" w:rsidP="00332048">
      <w:pPr>
        <w:pStyle w:val="BodyText2"/>
        <w:numPr>
          <w:ilvl w:val="0"/>
          <w:numId w:val="2"/>
        </w:numPr>
        <w:overflowPunct/>
        <w:autoSpaceDE/>
        <w:autoSpaceDN/>
        <w:adjustRightInd/>
        <w:spacing w:after="120"/>
        <w:ind w:left="266" w:hanging="266"/>
        <w:textAlignment w:val="auto"/>
        <w:rPr>
          <w:noProof/>
        </w:rPr>
      </w:pPr>
      <w:r w:rsidRPr="00632B94">
        <w:rPr>
          <w:noProof/>
        </w:rPr>
        <w:t>The trade balance of goods recorded</w:t>
      </w:r>
      <w:r w:rsidRPr="00632B94">
        <w:rPr>
          <w:noProof/>
          <w:rtl/>
        </w:rPr>
        <w:t xml:space="preserve"> </w:t>
      </w:r>
      <w:r w:rsidRPr="00632B94">
        <w:rPr>
          <w:noProof/>
        </w:rPr>
        <w:t xml:space="preserve">a deficit of USD </w:t>
      </w:r>
      <w:r w:rsidRPr="00332048">
        <w:rPr>
          <w:noProof/>
        </w:rPr>
        <w:t xml:space="preserve">4,439.1 </w:t>
      </w:r>
      <w:r w:rsidRPr="00632B94">
        <w:rPr>
          <w:noProof/>
        </w:rPr>
        <w:t>million, comprising about 30.6% of the GDP in current prices in 2017.  This reflects an increase of 2.6% compared with the 2016 deficit.  The trade balance deficit with Israel was the main cause of the overall trade balance deficit.</w:t>
      </w:r>
    </w:p>
    <w:p w:rsidR="001E75CD" w:rsidRPr="00632B94" w:rsidRDefault="001E75CD" w:rsidP="00332048">
      <w:pPr>
        <w:pStyle w:val="BodyText2"/>
        <w:numPr>
          <w:ilvl w:val="0"/>
          <w:numId w:val="2"/>
        </w:numPr>
        <w:overflowPunct/>
        <w:autoSpaceDE/>
        <w:autoSpaceDN/>
        <w:adjustRightInd/>
        <w:spacing w:after="120"/>
        <w:ind w:left="266" w:hanging="266"/>
        <w:textAlignment w:val="auto"/>
        <w:rPr>
          <w:noProof/>
        </w:rPr>
      </w:pPr>
      <w:r w:rsidRPr="00632B94">
        <w:rPr>
          <w:noProof/>
        </w:rPr>
        <w:t>The services balance recorded a deficit of USD 935.1 million, representing an increase of 1.8% compared with 2016.  The decline in the services balance deficit was caused by increased exports in construction services and a decrease of imports in travel services.</w:t>
      </w:r>
    </w:p>
    <w:p w:rsidR="00E619C1" w:rsidRDefault="00E619C1">
      <w:pPr>
        <w:overflowPunct/>
        <w:autoSpaceDE/>
        <w:autoSpaceDN/>
        <w:adjustRightInd/>
        <w:textAlignment w:val="auto"/>
        <w:rPr>
          <w:b/>
          <w:bCs/>
        </w:rPr>
      </w:pPr>
    </w:p>
    <w:p w:rsidR="001E75CD" w:rsidRPr="00332048" w:rsidRDefault="001E75CD" w:rsidP="00332048">
      <w:pPr>
        <w:pStyle w:val="Title"/>
        <w:bidi w:val="0"/>
        <w:ind w:left="-210" w:firstLine="210"/>
        <w:jc w:val="left"/>
        <w:rPr>
          <w:rFonts w:cs="Traditional Arabic"/>
          <w:sz w:val="20"/>
          <w:szCs w:val="20"/>
        </w:rPr>
      </w:pPr>
      <w:r w:rsidRPr="00332048">
        <w:rPr>
          <w:rFonts w:cs="Traditional Arabic"/>
          <w:sz w:val="20"/>
          <w:szCs w:val="20"/>
        </w:rPr>
        <w:t>2</w:t>
      </w:r>
      <w:r w:rsidR="00332048">
        <w:rPr>
          <w:rFonts w:cs="Traditional Arabic"/>
          <w:sz w:val="20"/>
          <w:szCs w:val="20"/>
        </w:rPr>
        <w:t>4</w:t>
      </w:r>
      <w:r w:rsidRPr="00332048">
        <w:rPr>
          <w:rFonts w:cs="Traditional Arabic"/>
          <w:sz w:val="20"/>
          <w:szCs w:val="20"/>
        </w:rPr>
        <w:t>.2 Income Balance</w:t>
      </w:r>
    </w:p>
    <w:p w:rsidR="001E75CD" w:rsidRPr="00632B94" w:rsidRDefault="001E75CD" w:rsidP="00332048">
      <w:pPr>
        <w:pStyle w:val="BodyText2"/>
        <w:numPr>
          <w:ilvl w:val="0"/>
          <w:numId w:val="2"/>
        </w:numPr>
        <w:overflowPunct/>
        <w:autoSpaceDE/>
        <w:autoSpaceDN/>
        <w:adjustRightInd/>
        <w:spacing w:after="120"/>
        <w:ind w:left="266" w:hanging="266"/>
        <w:textAlignment w:val="auto"/>
        <w:rPr>
          <w:noProof/>
        </w:rPr>
      </w:pPr>
      <w:r w:rsidRPr="00632B94">
        <w:rPr>
          <w:noProof/>
        </w:rPr>
        <w:t>A surplus of USD 1,991.9 million was recorded in this account</w:t>
      </w:r>
      <w:r w:rsidR="007C6658">
        <w:rPr>
          <w:noProof/>
        </w:rPr>
        <w:t xml:space="preserve"> in 2017</w:t>
      </w:r>
      <w:r w:rsidRPr="00632B94">
        <w:rPr>
          <w:noProof/>
        </w:rPr>
        <w:t>, representing an increase of 5% compared with 2016.  The surplus was caused mainly by the surplus in compensations of employees working in Israel, which totaled USD 1,9</w:t>
      </w:r>
      <w:r w:rsidR="00507812" w:rsidRPr="00632B94">
        <w:rPr>
          <w:noProof/>
        </w:rPr>
        <w:t>18</w:t>
      </w:r>
      <w:r w:rsidRPr="00632B94">
        <w:rPr>
          <w:noProof/>
        </w:rPr>
        <w:t>.</w:t>
      </w:r>
      <w:r w:rsidR="00507812" w:rsidRPr="00632B94">
        <w:rPr>
          <w:noProof/>
        </w:rPr>
        <w:t>6</w:t>
      </w:r>
      <w:r w:rsidRPr="00632B94">
        <w:rPr>
          <w:noProof/>
        </w:rPr>
        <w:t xml:space="preserve"> million and reflects an increase of 4% compared with 2016. Investment income received from abroad totaled USD 180.5 million, reflecting a decrease of 50.3% compared with 2016. This was caused mainly by an increase in the earnings received on portfolio investments invested abroad, in addition to earnings received on other investments abroad (mainly interest income on deposits abroad).</w:t>
      </w:r>
    </w:p>
    <w:p w:rsidR="001E75CD" w:rsidRPr="00632B94" w:rsidRDefault="001E75CD" w:rsidP="001E75CD">
      <w:pPr>
        <w:pStyle w:val="BodyText"/>
        <w:tabs>
          <w:tab w:val="num" w:pos="1211"/>
        </w:tabs>
        <w:overflowPunct/>
        <w:autoSpaceDE/>
        <w:autoSpaceDN/>
        <w:adjustRightInd/>
        <w:ind w:left="142"/>
        <w:jc w:val="lowKashida"/>
        <w:textAlignment w:val="auto"/>
      </w:pPr>
    </w:p>
    <w:p w:rsidR="001E75CD" w:rsidRPr="00332048" w:rsidRDefault="001E75CD" w:rsidP="00332048">
      <w:pPr>
        <w:pStyle w:val="Title"/>
        <w:bidi w:val="0"/>
        <w:ind w:left="-210" w:firstLine="210"/>
        <w:jc w:val="left"/>
        <w:rPr>
          <w:rFonts w:cs="Traditional Arabic"/>
          <w:sz w:val="20"/>
          <w:szCs w:val="20"/>
        </w:rPr>
      </w:pPr>
      <w:r w:rsidRPr="00332048">
        <w:rPr>
          <w:rFonts w:cs="Traditional Arabic"/>
          <w:sz w:val="20"/>
          <w:szCs w:val="20"/>
        </w:rPr>
        <w:t>2</w:t>
      </w:r>
      <w:r w:rsidR="00332048">
        <w:rPr>
          <w:rFonts w:cs="Traditional Arabic"/>
          <w:sz w:val="20"/>
          <w:szCs w:val="20"/>
        </w:rPr>
        <w:t>4</w:t>
      </w:r>
      <w:r w:rsidRPr="00332048">
        <w:rPr>
          <w:rFonts w:cs="Traditional Arabic"/>
          <w:sz w:val="20"/>
          <w:szCs w:val="20"/>
        </w:rPr>
        <w:t>.3 Capital and Financial Account</w:t>
      </w:r>
    </w:p>
    <w:p w:rsidR="001E75CD" w:rsidRPr="00632B94" w:rsidRDefault="001E75CD"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This account recorded a surplus of USD 1,395.2 million in </w:t>
      </w:r>
      <w:r w:rsidR="00507812" w:rsidRPr="00632B94">
        <w:rPr>
          <w:noProof/>
        </w:rPr>
        <w:t>2017</w:t>
      </w:r>
      <w:r w:rsidRPr="00632B94">
        <w:rPr>
          <w:noProof/>
        </w:rPr>
        <w:t xml:space="preserve">, mainly due to the surplus in the financial account (direct investments, portfolio investments, other investments and reserve assets), which totaled USD 998.1 million as a result of the surplus in currency and deposits in other investments. </w:t>
      </w:r>
    </w:p>
    <w:p w:rsidR="00EE63BF" w:rsidRDefault="00EE63BF" w:rsidP="001E75CD">
      <w:pPr>
        <w:pStyle w:val="ListParagraph"/>
        <w:bidi w:val="0"/>
        <w:ind w:left="0"/>
        <w:jc w:val="lowKashida"/>
        <w:rPr>
          <w:rFonts w:cs="Times New Roman"/>
          <w:i/>
          <w:iCs/>
          <w:sz w:val="20"/>
          <w:u w:val="single"/>
        </w:rPr>
      </w:pPr>
    </w:p>
    <w:p w:rsidR="001E75CD" w:rsidRPr="00332048" w:rsidRDefault="001E75CD" w:rsidP="00EE63BF">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 xml:space="preserve">For more details on the balance of payments, see the tables in chapter </w:t>
      </w:r>
      <w:r w:rsidR="00EE63BF" w:rsidRPr="00332048">
        <w:rPr>
          <w:rFonts w:cs="Times New Roman"/>
          <w:b/>
          <w:bCs/>
          <w:i/>
          <w:iCs/>
          <w:sz w:val="18"/>
          <w:szCs w:val="18"/>
          <w:u w:val="single"/>
        </w:rPr>
        <w:t>1.24</w:t>
      </w:r>
      <w:r w:rsidRPr="00332048">
        <w:rPr>
          <w:rFonts w:cs="Times New Roman"/>
          <w:b/>
          <w:bCs/>
          <w:i/>
          <w:iCs/>
          <w:sz w:val="18"/>
          <w:szCs w:val="18"/>
          <w:u w:val="single"/>
        </w:rPr>
        <w:t xml:space="preserve"> of the Arabic section, pages 24</w:t>
      </w:r>
      <w:r w:rsidR="00EE63BF" w:rsidRPr="00332048">
        <w:rPr>
          <w:rFonts w:cs="Times New Roman"/>
          <w:b/>
          <w:bCs/>
          <w:i/>
          <w:iCs/>
          <w:sz w:val="18"/>
          <w:szCs w:val="18"/>
          <w:u w:val="single"/>
        </w:rPr>
        <w:t>3</w:t>
      </w:r>
      <w:r w:rsidRPr="00332048">
        <w:rPr>
          <w:rFonts w:cs="Times New Roman"/>
          <w:b/>
          <w:bCs/>
          <w:i/>
          <w:iCs/>
          <w:sz w:val="18"/>
          <w:szCs w:val="18"/>
          <w:u w:val="single"/>
        </w:rPr>
        <w:t>-24</w:t>
      </w:r>
      <w:r w:rsidR="00EE63BF" w:rsidRPr="00332048">
        <w:rPr>
          <w:rFonts w:cs="Times New Roman"/>
          <w:b/>
          <w:bCs/>
          <w:i/>
          <w:iCs/>
          <w:sz w:val="18"/>
          <w:szCs w:val="18"/>
          <w:u w:val="single"/>
        </w:rPr>
        <w:t>6</w:t>
      </w:r>
      <w:r w:rsidRPr="00332048">
        <w:rPr>
          <w:rFonts w:cs="Times New Roman"/>
          <w:b/>
          <w:bCs/>
          <w:i/>
          <w:iCs/>
          <w:sz w:val="18"/>
          <w:szCs w:val="18"/>
          <w:u w:val="single"/>
        </w:rPr>
        <w:t>.</w:t>
      </w:r>
    </w:p>
    <w:p w:rsidR="00B0601E" w:rsidRPr="00632B94" w:rsidRDefault="00B0601E" w:rsidP="000C5F39">
      <w:pPr>
        <w:pStyle w:val="Title"/>
        <w:bidi w:val="0"/>
        <w:jc w:val="left"/>
        <w:rPr>
          <w:rFonts w:cs="Traditional Arabic"/>
          <w:sz w:val="20"/>
          <w:szCs w:val="20"/>
        </w:rPr>
      </w:pPr>
    </w:p>
    <w:p w:rsidR="00BC4685" w:rsidRPr="00632B94" w:rsidRDefault="00332048" w:rsidP="00332048">
      <w:pPr>
        <w:pStyle w:val="Title"/>
        <w:numPr>
          <w:ilvl w:val="0"/>
          <w:numId w:val="19"/>
        </w:numPr>
        <w:tabs>
          <w:tab w:val="right" w:pos="308"/>
        </w:tabs>
        <w:bidi w:val="0"/>
        <w:ind w:left="252" w:hanging="252"/>
        <w:jc w:val="left"/>
        <w:rPr>
          <w:rFonts w:cs="Traditional Arabic"/>
          <w:sz w:val="20"/>
          <w:szCs w:val="20"/>
        </w:rPr>
      </w:pPr>
      <w:r>
        <w:rPr>
          <w:rFonts w:cs="Traditional Arabic"/>
          <w:sz w:val="20"/>
          <w:szCs w:val="20"/>
        </w:rPr>
        <w:t xml:space="preserve"> </w:t>
      </w:r>
      <w:r w:rsidR="00BC4685" w:rsidRPr="00632B94">
        <w:rPr>
          <w:rFonts w:cs="Traditional Arabic"/>
          <w:sz w:val="20"/>
          <w:szCs w:val="20"/>
        </w:rPr>
        <w:t xml:space="preserve">Finance and Insurance </w:t>
      </w:r>
    </w:p>
    <w:p w:rsidR="00E23BA6" w:rsidRPr="00632B94" w:rsidRDefault="00E23BA6" w:rsidP="00332048">
      <w:pPr>
        <w:pStyle w:val="BodyText2"/>
        <w:numPr>
          <w:ilvl w:val="0"/>
          <w:numId w:val="2"/>
        </w:numPr>
        <w:overflowPunct/>
        <w:autoSpaceDE/>
        <w:autoSpaceDN/>
        <w:adjustRightInd/>
        <w:spacing w:after="120"/>
        <w:ind w:left="266" w:hanging="266"/>
        <w:textAlignment w:val="auto"/>
        <w:rPr>
          <w:noProof/>
        </w:rPr>
      </w:pPr>
      <w:r w:rsidRPr="00632B94">
        <w:rPr>
          <w:noProof/>
        </w:rPr>
        <w:t>There were 599 enterprises operating in financial intermediation activities in 2017.</w:t>
      </w:r>
      <w:r w:rsidRPr="00632B94" w:rsidDel="00F11EE2">
        <w:rPr>
          <w:noProof/>
        </w:rPr>
        <w:t xml:space="preserve"> </w:t>
      </w:r>
    </w:p>
    <w:p w:rsidR="00E23BA6" w:rsidRPr="00632B94" w:rsidRDefault="00E23BA6" w:rsidP="00332048">
      <w:pPr>
        <w:pStyle w:val="BodyText2"/>
        <w:numPr>
          <w:ilvl w:val="0"/>
          <w:numId w:val="2"/>
        </w:numPr>
        <w:overflowPunct/>
        <w:autoSpaceDE/>
        <w:autoSpaceDN/>
        <w:adjustRightInd/>
        <w:spacing w:after="120"/>
        <w:ind w:left="266" w:hanging="266"/>
        <w:textAlignment w:val="auto"/>
        <w:rPr>
          <w:noProof/>
        </w:rPr>
      </w:pPr>
      <w:r w:rsidRPr="00632B94">
        <w:rPr>
          <w:noProof/>
        </w:rPr>
        <w:t>There were 11,</w:t>
      </w:r>
      <w:r w:rsidRPr="00632B94">
        <w:rPr>
          <w:rFonts w:hint="cs"/>
          <w:noProof/>
          <w:rtl/>
        </w:rPr>
        <w:t>549</w:t>
      </w:r>
      <w:r w:rsidRPr="00632B94">
        <w:rPr>
          <w:noProof/>
        </w:rPr>
        <w:t xml:space="preserve"> employed persons in financial intermediation enterprises in 2017.</w:t>
      </w:r>
    </w:p>
    <w:p w:rsidR="00E23BA6" w:rsidRPr="00632B94" w:rsidRDefault="00E23BA6" w:rsidP="00332048">
      <w:pPr>
        <w:pStyle w:val="BodyText2"/>
        <w:numPr>
          <w:ilvl w:val="0"/>
          <w:numId w:val="2"/>
        </w:numPr>
        <w:overflowPunct/>
        <w:autoSpaceDE/>
        <w:autoSpaceDN/>
        <w:adjustRightInd/>
        <w:spacing w:after="120"/>
        <w:ind w:left="266" w:hanging="266"/>
        <w:textAlignment w:val="auto"/>
        <w:rPr>
          <w:noProof/>
        </w:rPr>
      </w:pPr>
      <w:r w:rsidRPr="00632B94">
        <w:rPr>
          <w:noProof/>
        </w:rPr>
        <w:t>The value of output in financial intermediation enterprises was USD 806.2 million in 2017.</w:t>
      </w:r>
    </w:p>
    <w:p w:rsidR="00E23BA6" w:rsidRPr="00632B94" w:rsidRDefault="00E23BA6"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value of intermediate consumption in financial intermediation enterprises was USD 215.0 million in 2017. </w:t>
      </w:r>
    </w:p>
    <w:p w:rsidR="00E23BA6" w:rsidRPr="00632B94" w:rsidRDefault="00E23BA6" w:rsidP="00332048">
      <w:pPr>
        <w:pStyle w:val="BodyText2"/>
        <w:numPr>
          <w:ilvl w:val="0"/>
          <w:numId w:val="2"/>
        </w:numPr>
        <w:overflowPunct/>
        <w:autoSpaceDE/>
        <w:autoSpaceDN/>
        <w:adjustRightInd/>
        <w:spacing w:after="120"/>
        <w:ind w:left="266" w:hanging="266"/>
        <w:textAlignment w:val="auto"/>
        <w:rPr>
          <w:noProof/>
        </w:rPr>
      </w:pPr>
      <w:r w:rsidRPr="00632B94">
        <w:rPr>
          <w:noProof/>
        </w:rPr>
        <w:t xml:space="preserve">The gross value added in financial intermediation enterprises was USD 591.1 million in 2017.  </w:t>
      </w:r>
    </w:p>
    <w:p w:rsidR="003936AC" w:rsidRPr="00632B94" w:rsidRDefault="003936AC" w:rsidP="00240D0A">
      <w:pPr>
        <w:pStyle w:val="BodyText"/>
        <w:overflowPunct/>
        <w:autoSpaceDE/>
        <w:autoSpaceDN/>
        <w:adjustRightInd/>
        <w:ind w:left="360"/>
        <w:jc w:val="lowKashida"/>
        <w:textAlignment w:val="auto"/>
        <w:rPr>
          <w:sz w:val="10"/>
          <w:szCs w:val="10"/>
        </w:rPr>
      </w:pPr>
    </w:p>
    <w:p w:rsidR="00BC4685" w:rsidRPr="00332048" w:rsidRDefault="00BC4685" w:rsidP="005779E5">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 xml:space="preserve">For more details on finance and insurance, see the tables in chapter </w:t>
      </w:r>
      <w:r w:rsidR="00EE63BF" w:rsidRPr="00332048">
        <w:rPr>
          <w:rFonts w:cs="Times New Roman"/>
          <w:b/>
          <w:bCs/>
          <w:i/>
          <w:iCs/>
          <w:sz w:val="18"/>
          <w:szCs w:val="18"/>
          <w:u w:val="single"/>
        </w:rPr>
        <w:t>1.25</w:t>
      </w:r>
      <w:r w:rsidRPr="00332048">
        <w:rPr>
          <w:rFonts w:cs="Times New Roman"/>
          <w:b/>
          <w:bCs/>
          <w:i/>
          <w:iCs/>
          <w:sz w:val="18"/>
          <w:szCs w:val="18"/>
          <w:u w:val="single"/>
        </w:rPr>
        <w:t xml:space="preserve"> of the Arabic section, pages</w:t>
      </w:r>
      <w:r w:rsidRPr="00332048">
        <w:rPr>
          <w:rFonts w:cs="Times New Roman"/>
          <w:b/>
          <w:bCs/>
          <w:i/>
          <w:iCs/>
          <w:sz w:val="18"/>
          <w:szCs w:val="18"/>
          <w:u w:val="single"/>
          <w:rtl/>
        </w:rPr>
        <w:t xml:space="preserve"> </w:t>
      </w:r>
      <w:r w:rsidRPr="00332048">
        <w:rPr>
          <w:rFonts w:cs="Times New Roman"/>
          <w:b/>
          <w:bCs/>
          <w:i/>
          <w:iCs/>
          <w:sz w:val="18"/>
          <w:szCs w:val="18"/>
          <w:u w:val="single"/>
        </w:rPr>
        <w:t>2</w:t>
      </w:r>
      <w:r w:rsidR="00A24E09" w:rsidRPr="00332048">
        <w:rPr>
          <w:rFonts w:cs="Times New Roman"/>
          <w:b/>
          <w:bCs/>
          <w:i/>
          <w:iCs/>
          <w:sz w:val="18"/>
          <w:szCs w:val="18"/>
          <w:u w:val="single"/>
        </w:rPr>
        <w:t>4</w:t>
      </w:r>
      <w:r w:rsidR="00EE63BF" w:rsidRPr="00332048">
        <w:rPr>
          <w:rFonts w:cs="Times New Roman"/>
          <w:b/>
          <w:bCs/>
          <w:i/>
          <w:iCs/>
          <w:sz w:val="18"/>
          <w:szCs w:val="18"/>
          <w:u w:val="single"/>
        </w:rPr>
        <w:t>7</w:t>
      </w:r>
      <w:r w:rsidRPr="00332048">
        <w:rPr>
          <w:rFonts w:cs="Times New Roman"/>
          <w:b/>
          <w:bCs/>
          <w:i/>
          <w:iCs/>
          <w:sz w:val="18"/>
          <w:szCs w:val="18"/>
          <w:u w:val="single"/>
        </w:rPr>
        <w:t>-</w:t>
      </w:r>
      <w:r w:rsidR="00A24E09" w:rsidRPr="00332048">
        <w:rPr>
          <w:rFonts w:cs="Times New Roman"/>
          <w:b/>
          <w:bCs/>
          <w:i/>
          <w:iCs/>
          <w:sz w:val="18"/>
          <w:szCs w:val="18"/>
          <w:u w:val="single"/>
        </w:rPr>
        <w:t>2</w:t>
      </w:r>
      <w:r w:rsidR="005779E5" w:rsidRPr="00332048">
        <w:rPr>
          <w:rFonts w:cs="Times New Roman" w:hint="cs"/>
          <w:b/>
          <w:bCs/>
          <w:i/>
          <w:iCs/>
          <w:sz w:val="18"/>
          <w:szCs w:val="18"/>
          <w:u w:val="single"/>
          <w:rtl/>
        </w:rPr>
        <w:t>50</w:t>
      </w:r>
      <w:r w:rsidRPr="00332048">
        <w:rPr>
          <w:rFonts w:cs="Times New Roman"/>
          <w:b/>
          <w:bCs/>
          <w:i/>
          <w:iCs/>
          <w:sz w:val="18"/>
          <w:szCs w:val="18"/>
          <w:u w:val="single"/>
        </w:rPr>
        <w:t>.</w:t>
      </w:r>
    </w:p>
    <w:p w:rsidR="00BC4685" w:rsidRPr="00632B94" w:rsidRDefault="00BC4685" w:rsidP="00BC4685">
      <w:pPr>
        <w:pStyle w:val="ListParagraph"/>
        <w:bidi w:val="0"/>
        <w:ind w:left="0"/>
        <w:jc w:val="lowKashida"/>
        <w:rPr>
          <w:rFonts w:cs="Times New Roman"/>
          <w:i/>
          <w:iCs/>
          <w:sz w:val="20"/>
          <w:u w:val="single"/>
        </w:rPr>
      </w:pPr>
    </w:p>
    <w:p w:rsidR="005779E5" w:rsidRDefault="005779E5">
      <w:pPr>
        <w:overflowPunct/>
        <w:autoSpaceDE/>
        <w:autoSpaceDN/>
        <w:adjustRightInd/>
        <w:textAlignment w:val="auto"/>
        <w:rPr>
          <w:rFonts w:cs="Traditional Arabic"/>
          <w:b/>
          <w:bCs/>
          <w:noProof/>
        </w:rPr>
      </w:pPr>
      <w:r>
        <w:rPr>
          <w:rFonts w:cs="Traditional Arabic"/>
        </w:rPr>
        <w:br w:type="page"/>
      </w:r>
    </w:p>
    <w:p w:rsidR="00BC4685" w:rsidRPr="00632B94" w:rsidRDefault="00495C6D" w:rsidP="00332048">
      <w:pPr>
        <w:pStyle w:val="Title"/>
        <w:numPr>
          <w:ilvl w:val="0"/>
          <w:numId w:val="19"/>
        </w:numPr>
        <w:tabs>
          <w:tab w:val="right" w:pos="308"/>
        </w:tabs>
        <w:bidi w:val="0"/>
        <w:ind w:left="252" w:hanging="252"/>
        <w:jc w:val="left"/>
        <w:rPr>
          <w:rFonts w:cs="Traditional Arabic"/>
          <w:sz w:val="20"/>
          <w:szCs w:val="20"/>
        </w:rPr>
      </w:pPr>
      <w:r w:rsidRPr="00D13EE2">
        <w:rPr>
          <w:rFonts w:cs="Traditional Arabic"/>
          <w:sz w:val="20"/>
          <w:szCs w:val="20"/>
        </w:rPr>
        <w:t>International</w:t>
      </w:r>
      <w:r w:rsidR="00BC4685" w:rsidRPr="00632B94">
        <w:rPr>
          <w:rFonts w:cs="Traditional Arabic"/>
          <w:sz w:val="20"/>
          <w:szCs w:val="20"/>
        </w:rPr>
        <w:t xml:space="preserve"> Investment Position</w:t>
      </w:r>
    </w:p>
    <w:p w:rsidR="008157AE" w:rsidRPr="00632B94" w:rsidRDefault="00CE6F88" w:rsidP="00CE6F88">
      <w:pPr>
        <w:pStyle w:val="BodyText2"/>
        <w:numPr>
          <w:ilvl w:val="0"/>
          <w:numId w:val="2"/>
        </w:numPr>
        <w:overflowPunct/>
        <w:autoSpaceDE/>
        <w:autoSpaceDN/>
        <w:adjustRightInd/>
        <w:spacing w:after="120"/>
        <w:ind w:left="266" w:hanging="266"/>
        <w:textAlignment w:val="auto"/>
        <w:rPr>
          <w:noProof/>
        </w:rPr>
      </w:pPr>
      <w:r w:rsidRPr="00CE6F88">
        <w:rPr>
          <w:noProof/>
        </w:rPr>
        <w:t xml:space="preserve">International Investment Position </w:t>
      </w:r>
      <w:r w:rsidR="008157AE" w:rsidRPr="00632B94">
        <w:rPr>
          <w:noProof/>
        </w:rPr>
        <w:t>(external assets – foreign liabilities) for Palestine at the end of 2017 revealed that the net IIP amounted to about USD 1,</w:t>
      </w:r>
      <w:r w:rsidR="008157AE" w:rsidRPr="00632B94">
        <w:rPr>
          <w:rFonts w:hint="cs"/>
          <w:noProof/>
          <w:rtl/>
        </w:rPr>
        <w:t>706</w:t>
      </w:r>
      <w:r w:rsidR="008157AE" w:rsidRPr="00632B94">
        <w:rPr>
          <w:noProof/>
        </w:rPr>
        <w:t xml:space="preserve"> million, which means that the Palestinian economy’s investments outside Palestine outweigh investments in Palestine from abroad.  The resident cash deposits in foreign banks and foreign exchange in the Palestinian economy accounted for the bulk of the external assets, constituting 63.1% of the total value of external assets.</w:t>
      </w:r>
    </w:p>
    <w:p w:rsidR="008157AE" w:rsidRPr="00632B94" w:rsidRDefault="008157AE" w:rsidP="00332048">
      <w:pPr>
        <w:pStyle w:val="BodyText2"/>
        <w:numPr>
          <w:ilvl w:val="0"/>
          <w:numId w:val="2"/>
        </w:numPr>
        <w:overflowPunct/>
        <w:autoSpaceDE/>
        <w:autoSpaceDN/>
        <w:adjustRightInd/>
        <w:spacing w:after="120"/>
        <w:ind w:left="266" w:hanging="266"/>
        <w:textAlignment w:val="auto"/>
        <w:rPr>
          <w:noProof/>
        </w:rPr>
      </w:pPr>
      <w:r w:rsidRPr="00632B94">
        <w:rPr>
          <w:noProof/>
        </w:rPr>
        <w:t>The total stocks of External Assets for Palestine amounted to USD 6,</w:t>
      </w:r>
      <w:r w:rsidRPr="00632B94">
        <w:rPr>
          <w:rFonts w:hint="cs"/>
          <w:noProof/>
          <w:rtl/>
        </w:rPr>
        <w:t>743</w:t>
      </w:r>
      <w:r w:rsidRPr="00632B94">
        <w:rPr>
          <w:noProof/>
        </w:rPr>
        <w:t xml:space="preserve"> million, the Foreign Direct Investment abroad contributed to </w:t>
      </w:r>
      <w:r w:rsidRPr="00632B94">
        <w:rPr>
          <w:rFonts w:hint="cs"/>
          <w:noProof/>
          <w:rtl/>
        </w:rPr>
        <w:t>5.3</w:t>
      </w:r>
      <w:r w:rsidRPr="00632B94">
        <w:rPr>
          <w:noProof/>
        </w:rPr>
        <w:t>%, Portfolio Investments abroad reached 20.2%, while Other Foreign Investments abroad (mainly currency and deposits) reached 67.9% and Reserve Assets amounted to 6.6%.  At sector level, the external investments of banks sector represented a large share of the external assets, standing at 70.5% of the total value of external assets.</w:t>
      </w:r>
    </w:p>
    <w:p w:rsidR="008157AE" w:rsidRPr="00332048" w:rsidRDefault="008157AE" w:rsidP="00332048">
      <w:pPr>
        <w:pStyle w:val="BodyText2"/>
        <w:numPr>
          <w:ilvl w:val="0"/>
          <w:numId w:val="2"/>
        </w:numPr>
        <w:overflowPunct/>
        <w:autoSpaceDE/>
        <w:autoSpaceDN/>
        <w:adjustRightInd/>
        <w:spacing w:after="120"/>
        <w:ind w:left="266" w:hanging="266"/>
        <w:textAlignment w:val="auto"/>
        <w:rPr>
          <w:noProof/>
        </w:rPr>
      </w:pPr>
      <w:r w:rsidRPr="00632B94">
        <w:rPr>
          <w:noProof/>
        </w:rPr>
        <w:t>The total stocks of Foreign Liabilities in Palestine (Stocks of non-residents invested in Palestine) amounted to USD 5,037 million, the Foreign Direct Investment in Palestine contributed to 52.</w:t>
      </w:r>
      <w:r w:rsidRPr="00632B94">
        <w:rPr>
          <w:rFonts w:hint="cs"/>
          <w:noProof/>
          <w:rtl/>
        </w:rPr>
        <w:t>5</w:t>
      </w:r>
      <w:r w:rsidRPr="00632B94">
        <w:rPr>
          <w:noProof/>
        </w:rPr>
        <w:t>%, Portfolio Investments in Palestine reached 14.0% and Other Investments in Palestine (mainly loans and deposits from abroad) amounted to 33.5%.  According to sectoral level, the foreign investments in banks sector</w:t>
      </w:r>
      <w:r w:rsidRPr="00332048">
        <w:rPr>
          <w:noProof/>
        </w:rPr>
        <w:t xml:space="preserve"> </w:t>
      </w:r>
      <w:r w:rsidRPr="00632B94">
        <w:rPr>
          <w:noProof/>
        </w:rPr>
        <w:t xml:space="preserve">contributed a major value in the foreign liabilities, represented by 36.7% of the total value of foreign liabilities on </w:t>
      </w:r>
      <w:r w:rsidR="00516EF5">
        <w:rPr>
          <w:noProof/>
        </w:rPr>
        <w:t xml:space="preserve">the </w:t>
      </w:r>
      <w:r w:rsidRPr="00632B94">
        <w:rPr>
          <w:noProof/>
        </w:rPr>
        <w:t>Palestinian economy.</w:t>
      </w:r>
    </w:p>
    <w:p w:rsidR="008157AE" w:rsidRPr="00332048" w:rsidRDefault="008157AE" w:rsidP="00CE6F88">
      <w:pPr>
        <w:pStyle w:val="BodyText2"/>
        <w:numPr>
          <w:ilvl w:val="0"/>
          <w:numId w:val="2"/>
        </w:numPr>
        <w:overflowPunct/>
        <w:autoSpaceDE/>
        <w:autoSpaceDN/>
        <w:adjustRightInd/>
        <w:spacing w:after="120"/>
        <w:ind w:left="266" w:hanging="266"/>
        <w:textAlignment w:val="auto"/>
        <w:rPr>
          <w:noProof/>
        </w:rPr>
      </w:pPr>
      <w:r w:rsidRPr="00632B94">
        <w:rPr>
          <w:noProof/>
        </w:rPr>
        <w:t>The Gross External Debt on different sectors of the Palestinian economy reached USD 1,</w:t>
      </w:r>
      <w:r w:rsidRPr="00632B94">
        <w:rPr>
          <w:rFonts w:hint="cs"/>
          <w:noProof/>
          <w:rtl/>
        </w:rPr>
        <w:t>7</w:t>
      </w:r>
      <w:r w:rsidR="00CE6F88">
        <w:rPr>
          <w:noProof/>
        </w:rPr>
        <w:t>20</w:t>
      </w:r>
      <w:r w:rsidRPr="00632B94">
        <w:rPr>
          <w:noProof/>
        </w:rPr>
        <w:t xml:space="preserve"> million,  </w:t>
      </w:r>
      <w:r w:rsidR="00516EF5">
        <w:rPr>
          <w:noProof/>
        </w:rPr>
        <w:t>t</w:t>
      </w:r>
      <w:r w:rsidR="00516EF5" w:rsidRPr="00632B94">
        <w:rPr>
          <w:noProof/>
        </w:rPr>
        <w:t xml:space="preserve">he </w:t>
      </w:r>
      <w:r w:rsidRPr="00632B94">
        <w:rPr>
          <w:noProof/>
        </w:rPr>
        <w:t xml:space="preserve">debt on government sector represented </w:t>
      </w:r>
      <w:r w:rsidRPr="00632B94">
        <w:rPr>
          <w:rFonts w:hint="cs"/>
          <w:noProof/>
          <w:rtl/>
        </w:rPr>
        <w:t>60.</w:t>
      </w:r>
      <w:r w:rsidR="00AF6D8E">
        <w:rPr>
          <w:rFonts w:hint="cs"/>
          <w:noProof/>
          <w:rtl/>
        </w:rPr>
        <w:t>6</w:t>
      </w:r>
      <w:r w:rsidRPr="00632B94">
        <w:rPr>
          <w:noProof/>
        </w:rPr>
        <w:t xml:space="preserve">%, while debt on banks sector reached </w:t>
      </w:r>
      <w:r w:rsidRPr="00632B94">
        <w:rPr>
          <w:rFonts w:hint="cs"/>
          <w:noProof/>
          <w:rtl/>
        </w:rPr>
        <w:t>35.0</w:t>
      </w:r>
      <w:r w:rsidRPr="00632B94">
        <w:rPr>
          <w:noProof/>
        </w:rPr>
        <w:t xml:space="preserve">%, and debt on other sectors (Nonbank financial corporations, non-financial corporations, NGOs and households sectors) amounted to </w:t>
      </w:r>
      <w:r w:rsidR="00AF6D8E">
        <w:rPr>
          <w:noProof/>
        </w:rPr>
        <w:t>4.1</w:t>
      </w:r>
      <w:r w:rsidRPr="00632B94">
        <w:rPr>
          <w:noProof/>
        </w:rPr>
        <w:t xml:space="preserve">%, and the lending between affiliated companies reached </w:t>
      </w:r>
      <w:r w:rsidR="00AF6D8E">
        <w:rPr>
          <w:rFonts w:hint="cs"/>
          <w:noProof/>
          <w:rtl/>
        </w:rPr>
        <w:t>0.3</w:t>
      </w:r>
      <w:r w:rsidRPr="00AF6D8E">
        <w:rPr>
          <w:noProof/>
        </w:rPr>
        <w:t>%.</w:t>
      </w:r>
    </w:p>
    <w:p w:rsidR="005779E5" w:rsidRDefault="005779E5" w:rsidP="00AE7EAC">
      <w:pPr>
        <w:pStyle w:val="ListParagraph"/>
        <w:bidi w:val="0"/>
        <w:ind w:left="0"/>
        <w:jc w:val="lowKashida"/>
        <w:rPr>
          <w:rFonts w:cs="Times New Roman"/>
          <w:i/>
          <w:iCs/>
          <w:sz w:val="20"/>
          <w:u w:val="single"/>
        </w:rPr>
      </w:pPr>
    </w:p>
    <w:p w:rsidR="002977AC" w:rsidRPr="00332048" w:rsidRDefault="002977AC" w:rsidP="005779E5">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 xml:space="preserve">For more details </w:t>
      </w:r>
      <w:r w:rsidR="00EF03E1" w:rsidRPr="00332048">
        <w:rPr>
          <w:rFonts w:cs="Times New Roman"/>
          <w:b/>
          <w:bCs/>
          <w:i/>
          <w:iCs/>
          <w:sz w:val="18"/>
          <w:szCs w:val="18"/>
          <w:u w:val="single"/>
        </w:rPr>
        <w:t xml:space="preserve">on the </w:t>
      </w:r>
      <w:r w:rsidRPr="00332048">
        <w:rPr>
          <w:rFonts w:cs="Times New Roman"/>
          <w:b/>
          <w:bCs/>
          <w:i/>
          <w:iCs/>
          <w:sz w:val="18"/>
          <w:szCs w:val="18"/>
          <w:u w:val="single"/>
        </w:rPr>
        <w:t xml:space="preserve"> international investment position, see the table in chapter 1.2</w:t>
      </w:r>
      <w:r w:rsidR="005779E5" w:rsidRPr="00332048">
        <w:rPr>
          <w:rFonts w:cs="Times New Roman"/>
          <w:b/>
          <w:bCs/>
          <w:i/>
          <w:iCs/>
          <w:sz w:val="18"/>
          <w:szCs w:val="18"/>
          <w:u w:val="single"/>
        </w:rPr>
        <w:t>6</w:t>
      </w:r>
      <w:r w:rsidRPr="00332048">
        <w:rPr>
          <w:rFonts w:cs="Times New Roman"/>
          <w:b/>
          <w:bCs/>
          <w:i/>
          <w:iCs/>
          <w:sz w:val="18"/>
          <w:szCs w:val="18"/>
          <w:u w:val="single"/>
        </w:rPr>
        <w:t xml:space="preserve"> of the Arabic section, pages</w:t>
      </w:r>
      <w:r w:rsidRPr="00332048">
        <w:rPr>
          <w:rFonts w:cs="Times New Roman"/>
          <w:b/>
          <w:bCs/>
          <w:i/>
          <w:iCs/>
          <w:noProof w:val="0"/>
          <w:sz w:val="18"/>
          <w:szCs w:val="18"/>
          <w:u w:val="single"/>
          <w:rtl/>
        </w:rPr>
        <w:t xml:space="preserve"> </w:t>
      </w:r>
      <w:r w:rsidR="0037768C" w:rsidRPr="00332048">
        <w:rPr>
          <w:rFonts w:cs="Times New Roman"/>
          <w:b/>
          <w:bCs/>
          <w:i/>
          <w:iCs/>
          <w:sz w:val="18"/>
          <w:szCs w:val="18"/>
          <w:u w:val="single"/>
        </w:rPr>
        <w:t>2</w:t>
      </w:r>
      <w:r w:rsidR="005779E5" w:rsidRPr="00332048">
        <w:rPr>
          <w:rFonts w:cs="Times New Roman"/>
          <w:b/>
          <w:bCs/>
          <w:i/>
          <w:iCs/>
          <w:sz w:val="18"/>
          <w:szCs w:val="18"/>
          <w:u w:val="single"/>
        </w:rPr>
        <w:t>51</w:t>
      </w:r>
      <w:r w:rsidR="00546837" w:rsidRPr="00332048">
        <w:rPr>
          <w:rFonts w:cs="Times New Roman"/>
          <w:b/>
          <w:bCs/>
          <w:i/>
          <w:iCs/>
          <w:sz w:val="18"/>
          <w:szCs w:val="18"/>
          <w:u w:val="single"/>
        </w:rPr>
        <w:t>-</w:t>
      </w:r>
      <w:r w:rsidR="0037768C" w:rsidRPr="00332048">
        <w:rPr>
          <w:rFonts w:cs="Times New Roman"/>
          <w:b/>
          <w:bCs/>
          <w:i/>
          <w:iCs/>
          <w:sz w:val="18"/>
          <w:szCs w:val="18"/>
          <w:u w:val="single"/>
        </w:rPr>
        <w:t>2</w:t>
      </w:r>
      <w:r w:rsidR="00AE7EAC" w:rsidRPr="00332048">
        <w:rPr>
          <w:rFonts w:cs="Times New Roman"/>
          <w:b/>
          <w:bCs/>
          <w:i/>
          <w:iCs/>
          <w:sz w:val="18"/>
          <w:szCs w:val="18"/>
          <w:u w:val="single"/>
        </w:rPr>
        <w:t>5</w:t>
      </w:r>
      <w:r w:rsidR="005779E5" w:rsidRPr="00332048">
        <w:rPr>
          <w:rFonts w:cs="Times New Roman"/>
          <w:b/>
          <w:bCs/>
          <w:i/>
          <w:iCs/>
          <w:sz w:val="18"/>
          <w:szCs w:val="18"/>
          <w:u w:val="single"/>
        </w:rPr>
        <w:t>4</w:t>
      </w:r>
    </w:p>
    <w:p w:rsidR="002977AC" w:rsidRPr="00632B94" w:rsidRDefault="002977AC" w:rsidP="002977AC">
      <w:pPr>
        <w:pStyle w:val="Title"/>
        <w:bidi w:val="0"/>
        <w:ind w:left="98"/>
        <w:jc w:val="left"/>
        <w:rPr>
          <w:rFonts w:cs="Times New Roman"/>
          <w:i/>
          <w:iCs/>
          <w:sz w:val="20"/>
          <w:u w:val="single"/>
        </w:rPr>
      </w:pPr>
    </w:p>
    <w:p w:rsidR="00DE3043" w:rsidRPr="00632B94" w:rsidRDefault="00B20D22" w:rsidP="009E661E">
      <w:pPr>
        <w:overflowPunct/>
        <w:autoSpaceDE/>
        <w:autoSpaceDN/>
        <w:adjustRightInd/>
        <w:textAlignment w:val="auto"/>
        <w:rPr>
          <w:rFonts w:cs="Simplified Arabic"/>
          <w:noProof/>
          <w:sz w:val="24"/>
          <w:szCs w:val="24"/>
        </w:rPr>
      </w:pPr>
      <w:r w:rsidRPr="00632B94">
        <w:rPr>
          <w:szCs w:val="24"/>
        </w:rPr>
        <w:br w:type="page"/>
      </w:r>
    </w:p>
    <w:p w:rsidR="003A59C1" w:rsidRPr="00632B94" w:rsidRDefault="005356E0" w:rsidP="003A59C1">
      <w:pPr>
        <w:pStyle w:val="Title"/>
        <w:bidi w:val="0"/>
        <w:rPr>
          <w:szCs w:val="24"/>
        </w:rPr>
      </w:pPr>
      <w:r>
        <w:rPr>
          <w:szCs w:val="24"/>
        </w:rPr>
        <w:pict>
          <v:rect id="_x0000_s1028" style="position:absolute;left:0;text-align:left;margin-left:325pt;margin-top:-4.65pt;width:42pt;height:24pt;z-index:251655168">
            <v:textbox style="mso-next-textbox:#_x0000_s1028">
              <w:txbxContent>
                <w:p w:rsidR="00C10B40" w:rsidRDefault="00C10B40" w:rsidP="003C6F02">
                  <w:pPr>
                    <w:jc w:val="center"/>
                    <w:rPr>
                      <w:b/>
                      <w:bCs/>
                      <w:sz w:val="28"/>
                      <w:szCs w:val="28"/>
                    </w:rPr>
                  </w:pPr>
                  <w:r>
                    <w:rPr>
                      <w:sz w:val="28"/>
                    </w:rPr>
                    <w:t>2.1</w:t>
                  </w:r>
                </w:p>
              </w:txbxContent>
            </v:textbox>
          </v:rect>
        </w:pict>
      </w:r>
      <w:r w:rsidR="00310AD8" w:rsidRPr="00632B94">
        <w:rPr>
          <w:szCs w:val="24"/>
        </w:rPr>
        <w:t xml:space="preserve"> Palestinians in the </w:t>
      </w:r>
      <w:r w:rsidR="003A59C1" w:rsidRPr="00632B94">
        <w:rPr>
          <w:szCs w:val="24"/>
        </w:rPr>
        <w:t xml:space="preserve">Occupied Palestinian </w:t>
      </w:r>
    </w:p>
    <w:p w:rsidR="00DC67CE" w:rsidRPr="00632B94" w:rsidRDefault="003A59C1" w:rsidP="003A59C1">
      <w:pPr>
        <w:pStyle w:val="Title"/>
        <w:bidi w:val="0"/>
        <w:rPr>
          <w:szCs w:val="24"/>
        </w:rPr>
      </w:pPr>
      <w:r w:rsidRPr="00632B94">
        <w:rPr>
          <w:szCs w:val="24"/>
        </w:rPr>
        <w:t xml:space="preserve">Territory </w:t>
      </w:r>
      <w:r w:rsidR="00310AD8" w:rsidRPr="00632B94">
        <w:rPr>
          <w:szCs w:val="24"/>
        </w:rPr>
        <w:t>in 1948</w:t>
      </w:r>
    </w:p>
    <w:p w:rsidR="00C9334E" w:rsidRPr="00632B94" w:rsidRDefault="00C9334E" w:rsidP="00C9334E">
      <w:pPr>
        <w:pStyle w:val="BodyText"/>
        <w:jc w:val="lowKashida"/>
        <w:rPr>
          <w:sz w:val="24"/>
          <w:szCs w:val="24"/>
        </w:rPr>
      </w:pPr>
    </w:p>
    <w:p w:rsidR="00C9334E" w:rsidRPr="00632B94" w:rsidRDefault="00C9334E" w:rsidP="00AA587F">
      <w:pPr>
        <w:pStyle w:val="BodyText"/>
        <w:jc w:val="lowKashida"/>
      </w:pPr>
      <w:r w:rsidRPr="00632B94">
        <w:t>Palestine Catastrophe (</w:t>
      </w:r>
      <w:proofErr w:type="spellStart"/>
      <w:r w:rsidRPr="00632B94">
        <w:t>Nakba</w:t>
      </w:r>
      <w:proofErr w:type="spellEnd"/>
      <w:r w:rsidRPr="00632B94">
        <w:t xml:space="preserve">) of 1948 resulted in the occupation of more than three quarters of Palestine. Thus, Israel was established on that part of Palestine occupied in 1948, </w:t>
      </w:r>
      <w:r w:rsidR="006B1447" w:rsidRPr="00632B94">
        <w:t xml:space="preserve">which represents </w:t>
      </w:r>
      <w:r w:rsidRPr="00632B94">
        <w:t xml:space="preserve">78% of historical Palestine. The Palestinian population who remained in their homeland came under direct and complete Israeli sovereignty.  They were considered Israeli citizens and </w:t>
      </w:r>
      <w:r w:rsidR="00AA587F" w:rsidRPr="00632B94">
        <w:t xml:space="preserve">were </w:t>
      </w:r>
      <w:r w:rsidRPr="00632B94">
        <w:t xml:space="preserve">subject to various policies and practices that sought to obliterate the Palestinian identity and culture. </w:t>
      </w:r>
    </w:p>
    <w:p w:rsidR="00C9334E" w:rsidRPr="00632B94" w:rsidRDefault="00C9334E" w:rsidP="00C9334E">
      <w:pPr>
        <w:jc w:val="lowKashida"/>
        <w:rPr>
          <w:sz w:val="10"/>
          <w:szCs w:val="10"/>
        </w:rPr>
      </w:pPr>
    </w:p>
    <w:p w:rsidR="00C9334E" w:rsidRPr="00632B94" w:rsidRDefault="00C9334E" w:rsidP="00C9334E">
      <w:pPr>
        <w:jc w:val="lowKashida"/>
      </w:pPr>
      <w:r w:rsidRPr="00632B94">
        <w:t>Statistically speaking, all data on Palestinians living in this part of historical Palestine occupied in 1948 were considered part of the Israeli statistical system. Thus, all Israeli statistical issues and publications include data on the Palestinian population.</w:t>
      </w:r>
    </w:p>
    <w:p w:rsidR="00C9334E" w:rsidRPr="00632B94" w:rsidRDefault="00C9334E" w:rsidP="00C9334E">
      <w:pPr>
        <w:jc w:val="lowKashida"/>
        <w:rPr>
          <w:sz w:val="10"/>
          <w:szCs w:val="10"/>
        </w:rPr>
      </w:pPr>
      <w:r w:rsidRPr="00632B94">
        <w:rPr>
          <w:sz w:val="10"/>
          <w:szCs w:val="10"/>
        </w:rPr>
        <w:t xml:space="preserve"> </w:t>
      </w:r>
    </w:p>
    <w:p w:rsidR="00C9334E" w:rsidRPr="00632B94" w:rsidRDefault="00C9334E" w:rsidP="003936AC">
      <w:pPr>
        <w:jc w:val="lowKashida"/>
      </w:pPr>
      <w:r w:rsidRPr="00632B94">
        <w:t xml:space="preserve">The Palestinian Central Bureau of Statistics strove hard to compile, tabulate and disseminate statistical data on the Palestinians living in Israel despite the difficulties, including the scarcity of separate data available on those Palestinians, in addition to the complications associated with compiling statistical data about them. </w:t>
      </w:r>
    </w:p>
    <w:p w:rsidR="00C9334E" w:rsidRPr="00632B94" w:rsidRDefault="00C9334E" w:rsidP="00C9334E">
      <w:pPr>
        <w:jc w:val="lowKashida"/>
        <w:rPr>
          <w:sz w:val="10"/>
          <w:szCs w:val="10"/>
        </w:rPr>
      </w:pPr>
    </w:p>
    <w:p w:rsidR="00C9334E" w:rsidRDefault="00C9334E" w:rsidP="00C9334E">
      <w:pPr>
        <w:jc w:val="lowKashida"/>
      </w:pPr>
      <w:r w:rsidRPr="00632B94">
        <w:t>Nevertheless, data disseminated in this chapter constitutes a general statistical diagnosis of the Palestinian reality in Israel.  This chapter presents statistics on the Palestinians in Israel including demographic, educational and labor force characteristics.  It is worth noting that such statistics are derived from the reality of living conditions in Israel. Thus, any possible comparisons for any of the statistical indicators should be made with those pertinent to the population in Israel and not with the Palestinians in other places. Some changes occurred in the data of this chapter which refers to revision and modification as in its sources.</w:t>
      </w:r>
    </w:p>
    <w:p w:rsidR="00112829" w:rsidRDefault="00112829" w:rsidP="00C9334E">
      <w:pPr>
        <w:jc w:val="lowKashida"/>
      </w:pPr>
    </w:p>
    <w:p w:rsidR="00112829" w:rsidRPr="00112829" w:rsidRDefault="00112829" w:rsidP="00112829">
      <w:pPr>
        <w:jc w:val="lowKashida"/>
      </w:pPr>
      <w:r w:rsidRPr="00112829">
        <w:t>The data of this chapter does not include Palestinians and Arabs residing within the borders of the territories occupied in 1967 and subsequently annexed to Israel, which are determined mainly in that part of Jerusalem Governorate, which was annexed by the Israeli occupation by force following its occupation of the West Bank in 1967 and the Syrian Golan Heights</w:t>
      </w:r>
      <w:r w:rsidRPr="00112829">
        <w:rPr>
          <w:rtl/>
        </w:rPr>
        <w:t xml:space="preserve"> .</w:t>
      </w:r>
    </w:p>
    <w:p w:rsidR="00112829" w:rsidRPr="00632B94" w:rsidRDefault="00112829" w:rsidP="00C9334E">
      <w:pPr>
        <w:jc w:val="lowKashida"/>
      </w:pPr>
    </w:p>
    <w:p w:rsidR="005779E5" w:rsidRDefault="005779E5" w:rsidP="00C9334E">
      <w:pPr>
        <w:jc w:val="both"/>
        <w:rPr>
          <w:b/>
          <w:bCs/>
        </w:rPr>
      </w:pPr>
      <w:bookmarkStart w:id="1" w:name="OLE_LINK3"/>
    </w:p>
    <w:p w:rsidR="00C9334E" w:rsidRPr="00632B94" w:rsidRDefault="00C9334E" w:rsidP="00C9334E">
      <w:pPr>
        <w:jc w:val="both"/>
        <w:rPr>
          <w:b/>
          <w:bCs/>
        </w:rPr>
      </w:pPr>
      <w:r w:rsidRPr="00632B94">
        <w:rPr>
          <w:b/>
          <w:bCs/>
        </w:rPr>
        <w:t xml:space="preserve">Population: </w:t>
      </w:r>
    </w:p>
    <w:bookmarkEnd w:id="1"/>
    <w:p w:rsidR="00731202" w:rsidRPr="00632B94" w:rsidRDefault="00A024A9" w:rsidP="0099094B">
      <w:pPr>
        <w:numPr>
          <w:ilvl w:val="0"/>
          <w:numId w:val="1"/>
        </w:numPr>
        <w:ind w:left="714" w:hanging="350"/>
        <w:jc w:val="both"/>
        <w:rPr>
          <w:noProof/>
        </w:rPr>
      </w:pPr>
      <w:r w:rsidRPr="00632B94">
        <w:rPr>
          <w:noProof/>
        </w:rPr>
        <w:t xml:space="preserve">The total population of </w:t>
      </w:r>
      <w:r w:rsidR="008A511C" w:rsidRPr="00632B94">
        <w:rPr>
          <w:noProof/>
        </w:rPr>
        <w:t>th</w:t>
      </w:r>
      <w:r w:rsidR="008A511C">
        <w:rPr>
          <w:noProof/>
        </w:rPr>
        <w:t>o</w:t>
      </w:r>
      <w:r w:rsidR="008A511C" w:rsidRPr="00632B94">
        <w:rPr>
          <w:noProof/>
        </w:rPr>
        <w:t xml:space="preserve">se </w:t>
      </w:r>
      <w:r w:rsidRPr="00632B94">
        <w:rPr>
          <w:noProof/>
        </w:rPr>
        <w:t xml:space="preserve">areas at the end of </w:t>
      </w:r>
      <w:r w:rsidR="001E670E" w:rsidRPr="00632B94">
        <w:rPr>
          <w:noProof/>
        </w:rPr>
        <w:t>2017</w:t>
      </w:r>
      <w:r w:rsidRPr="00632B94">
        <w:rPr>
          <w:noProof/>
        </w:rPr>
        <w:t xml:space="preserve"> was 1.</w:t>
      </w:r>
      <w:r w:rsidR="0099094B">
        <w:rPr>
          <w:noProof/>
        </w:rPr>
        <w:t>471</w:t>
      </w:r>
      <w:r w:rsidRPr="00632B94">
        <w:rPr>
          <w:noProof/>
        </w:rPr>
        <w:t xml:space="preserve"> million (excluding the residents of occupied East Jerusalem and the Golan Heights).</w:t>
      </w:r>
    </w:p>
    <w:p w:rsidR="00731202" w:rsidRPr="00632B94" w:rsidRDefault="00731202" w:rsidP="002A1227">
      <w:pPr>
        <w:numPr>
          <w:ilvl w:val="0"/>
          <w:numId w:val="1"/>
        </w:numPr>
        <w:ind w:left="714" w:hanging="350"/>
        <w:jc w:val="both"/>
        <w:rPr>
          <w:noProof/>
        </w:rPr>
      </w:pPr>
      <w:r w:rsidRPr="00632B94">
        <w:rPr>
          <w:noProof/>
        </w:rPr>
        <w:t xml:space="preserve">The total fertility rate for Palestinian women during </w:t>
      </w:r>
      <w:r w:rsidR="001E670E" w:rsidRPr="00632B94">
        <w:rPr>
          <w:noProof/>
        </w:rPr>
        <w:t>2017</w:t>
      </w:r>
      <w:r w:rsidRPr="00632B94">
        <w:rPr>
          <w:noProof/>
        </w:rPr>
        <w:t xml:space="preserve"> was 3.</w:t>
      </w:r>
      <w:r w:rsidR="002A1227">
        <w:rPr>
          <w:noProof/>
        </w:rPr>
        <w:t>4</w:t>
      </w:r>
      <w:r w:rsidRPr="00632B94">
        <w:rPr>
          <w:noProof/>
        </w:rPr>
        <w:t xml:space="preserve"> births.</w:t>
      </w:r>
    </w:p>
    <w:p w:rsidR="000414D0" w:rsidRPr="00632B94" w:rsidRDefault="000414D0" w:rsidP="007C6658">
      <w:pPr>
        <w:numPr>
          <w:ilvl w:val="0"/>
          <w:numId w:val="1"/>
        </w:numPr>
        <w:ind w:left="714" w:hanging="350"/>
        <w:jc w:val="both"/>
        <w:rPr>
          <w:noProof/>
        </w:rPr>
      </w:pPr>
      <w:r w:rsidRPr="00632B94">
        <w:rPr>
          <w:noProof/>
        </w:rPr>
        <w:t xml:space="preserve">The average size of </w:t>
      </w:r>
      <w:r w:rsidR="003936AC" w:rsidRPr="00632B94">
        <w:rPr>
          <w:noProof/>
        </w:rPr>
        <w:t xml:space="preserve">the </w:t>
      </w:r>
      <w:r w:rsidRPr="00632B94">
        <w:rPr>
          <w:noProof/>
        </w:rPr>
        <w:t xml:space="preserve">Palestinian household was 4.5 persons in </w:t>
      </w:r>
      <w:r w:rsidR="009132EC" w:rsidRPr="00632B94">
        <w:rPr>
          <w:noProof/>
        </w:rPr>
        <w:t>2017</w:t>
      </w:r>
      <w:r w:rsidRPr="00632B94">
        <w:rPr>
          <w:noProof/>
        </w:rPr>
        <w:t>.</w:t>
      </w:r>
    </w:p>
    <w:p w:rsidR="00A024A9" w:rsidRPr="00632B94" w:rsidRDefault="00731202" w:rsidP="00731202">
      <w:pPr>
        <w:jc w:val="both"/>
        <w:rPr>
          <w:b/>
          <w:bCs/>
        </w:rPr>
      </w:pPr>
      <w:r w:rsidRPr="00632B94">
        <w:rPr>
          <w:b/>
          <w:bCs/>
        </w:rPr>
        <w:t xml:space="preserve">Housing and Housing Conditions: </w:t>
      </w:r>
      <w:r w:rsidR="00A024A9" w:rsidRPr="00632B94">
        <w:rPr>
          <w:b/>
          <w:bCs/>
        </w:rPr>
        <w:t xml:space="preserve"> </w:t>
      </w:r>
    </w:p>
    <w:p w:rsidR="00D6199C" w:rsidRPr="00632B94" w:rsidRDefault="009132EC" w:rsidP="008A511C">
      <w:pPr>
        <w:numPr>
          <w:ilvl w:val="0"/>
          <w:numId w:val="1"/>
        </w:numPr>
        <w:ind w:left="714" w:hanging="350"/>
        <w:jc w:val="both"/>
        <w:rPr>
          <w:noProof/>
        </w:rPr>
      </w:pPr>
      <w:r w:rsidRPr="00632B94">
        <w:rPr>
          <w:noProof/>
        </w:rPr>
        <w:t>90.3</w:t>
      </w:r>
      <w:r w:rsidR="00D6199C" w:rsidRPr="00632B94">
        <w:rPr>
          <w:noProof/>
        </w:rPr>
        <w:t xml:space="preserve">% of Palestinian households </w:t>
      </w:r>
      <w:r w:rsidR="008A511C">
        <w:rPr>
          <w:noProof/>
        </w:rPr>
        <w:t>i</w:t>
      </w:r>
      <w:r w:rsidR="008A511C" w:rsidRPr="00632B94">
        <w:rPr>
          <w:noProof/>
        </w:rPr>
        <w:t xml:space="preserve">n </w:t>
      </w:r>
      <w:r w:rsidRPr="00632B94">
        <w:rPr>
          <w:noProof/>
        </w:rPr>
        <w:t>2017</w:t>
      </w:r>
      <w:r w:rsidR="00D6199C" w:rsidRPr="00632B94">
        <w:rPr>
          <w:noProof/>
        </w:rPr>
        <w:t xml:space="preserve"> owned the housing unit they  lived in.</w:t>
      </w:r>
    </w:p>
    <w:p w:rsidR="00D6199C" w:rsidRPr="00632B94" w:rsidRDefault="009132EC" w:rsidP="009132EC">
      <w:pPr>
        <w:numPr>
          <w:ilvl w:val="0"/>
          <w:numId w:val="1"/>
        </w:numPr>
        <w:ind w:left="714" w:hanging="350"/>
        <w:jc w:val="both"/>
        <w:rPr>
          <w:noProof/>
        </w:rPr>
      </w:pPr>
      <w:r w:rsidRPr="00632B94">
        <w:rPr>
          <w:noProof/>
        </w:rPr>
        <w:t>53.0</w:t>
      </w:r>
      <w:r w:rsidR="00D6199C" w:rsidRPr="00632B94">
        <w:rPr>
          <w:noProof/>
        </w:rPr>
        <w:t xml:space="preserve">% of Palestinian households lives in a house in </w:t>
      </w:r>
      <w:r w:rsidRPr="00632B94">
        <w:rPr>
          <w:noProof/>
        </w:rPr>
        <w:t>2017</w:t>
      </w:r>
      <w:r w:rsidR="00D6199C" w:rsidRPr="00632B94">
        <w:rPr>
          <w:noProof/>
        </w:rPr>
        <w:t>.</w:t>
      </w:r>
    </w:p>
    <w:p w:rsidR="009A2628" w:rsidRPr="00632B94" w:rsidRDefault="00D6199C" w:rsidP="00806800">
      <w:pPr>
        <w:numPr>
          <w:ilvl w:val="0"/>
          <w:numId w:val="1"/>
        </w:numPr>
        <w:ind w:left="714" w:hanging="350"/>
        <w:jc w:val="both"/>
        <w:rPr>
          <w:b/>
          <w:bCs/>
        </w:rPr>
      </w:pPr>
      <w:r w:rsidRPr="00632B94">
        <w:rPr>
          <w:noProof/>
        </w:rPr>
        <w:t xml:space="preserve">The average housing density was </w:t>
      </w:r>
      <w:r w:rsidR="00806800" w:rsidRPr="00632B94">
        <w:rPr>
          <w:noProof/>
        </w:rPr>
        <w:t>1</w:t>
      </w:r>
      <w:r w:rsidRPr="00632B94">
        <w:rPr>
          <w:noProof/>
        </w:rPr>
        <w:t>.</w:t>
      </w:r>
      <w:r w:rsidR="00806800" w:rsidRPr="00632B94">
        <w:rPr>
          <w:noProof/>
        </w:rPr>
        <w:t>25</w:t>
      </w:r>
      <w:r w:rsidRPr="00632B94">
        <w:rPr>
          <w:noProof/>
        </w:rPr>
        <w:t xml:space="preserve"> persons per room in </w:t>
      </w:r>
      <w:r w:rsidR="00806800" w:rsidRPr="00632B94">
        <w:rPr>
          <w:noProof/>
        </w:rPr>
        <w:t>2017</w:t>
      </w:r>
      <w:r w:rsidR="009A2EFA">
        <w:rPr>
          <w:noProof/>
        </w:rPr>
        <w:t>.</w:t>
      </w:r>
      <w:r w:rsidRPr="00632B94">
        <w:rPr>
          <w:noProof/>
        </w:rPr>
        <w:t xml:space="preserve"> </w:t>
      </w:r>
      <w:r w:rsidR="009A2628" w:rsidRPr="00632B94">
        <w:rPr>
          <w:noProof/>
        </w:rPr>
        <w:t xml:space="preserve"> </w:t>
      </w:r>
    </w:p>
    <w:p w:rsidR="006B30B7" w:rsidRDefault="006B30B7" w:rsidP="009A2628">
      <w:pPr>
        <w:jc w:val="both"/>
        <w:rPr>
          <w:b/>
          <w:bCs/>
        </w:rPr>
      </w:pPr>
    </w:p>
    <w:p w:rsidR="006B30B7" w:rsidRPr="006B30B7" w:rsidRDefault="006B30B7" w:rsidP="006B30B7">
      <w:pPr>
        <w:jc w:val="both"/>
        <w:rPr>
          <w:b/>
          <w:bCs/>
        </w:rPr>
      </w:pPr>
      <w:r w:rsidRPr="006B30B7">
        <w:rPr>
          <w:b/>
          <w:bCs/>
        </w:rPr>
        <w:t>Living Standards</w:t>
      </w:r>
      <w:r w:rsidR="00071EE2">
        <w:rPr>
          <w:b/>
          <w:bCs/>
        </w:rPr>
        <w:t>:</w:t>
      </w:r>
    </w:p>
    <w:p w:rsidR="006B30B7" w:rsidRDefault="006B30B7" w:rsidP="006B30B7">
      <w:pPr>
        <w:numPr>
          <w:ilvl w:val="0"/>
          <w:numId w:val="1"/>
        </w:numPr>
        <w:ind w:left="714" w:hanging="350"/>
        <w:jc w:val="both"/>
        <w:rPr>
          <w:noProof/>
        </w:rPr>
      </w:pPr>
      <w:r>
        <w:rPr>
          <w:rFonts w:hint="cs"/>
          <w:noProof/>
          <w:rtl/>
        </w:rPr>
        <w:t>56.8%</w:t>
      </w:r>
      <w:r w:rsidRPr="006B30B7">
        <w:rPr>
          <w:noProof/>
          <w:rtl/>
        </w:rPr>
        <w:t xml:space="preserve"> </w:t>
      </w:r>
      <w:r>
        <w:rPr>
          <w:noProof/>
        </w:rPr>
        <w:t xml:space="preserve"> </w:t>
      </w:r>
      <w:r w:rsidRPr="006B30B7">
        <w:rPr>
          <w:noProof/>
        </w:rPr>
        <w:t>of the Palestinian households in the occupied Palestinian territories in 1948 depend on wages and salaries as their source of income during the year 2017</w:t>
      </w:r>
      <w:r>
        <w:rPr>
          <w:noProof/>
        </w:rPr>
        <w:t>.</w:t>
      </w:r>
    </w:p>
    <w:p w:rsidR="006B30B7" w:rsidRPr="006B30B7" w:rsidRDefault="006B30B7" w:rsidP="006B30B7">
      <w:pPr>
        <w:numPr>
          <w:ilvl w:val="0"/>
          <w:numId w:val="1"/>
        </w:numPr>
        <w:ind w:left="714" w:hanging="350"/>
        <w:jc w:val="both"/>
        <w:rPr>
          <w:b/>
          <w:bCs/>
        </w:rPr>
      </w:pPr>
      <w:r>
        <w:rPr>
          <w:rFonts w:hint="cs"/>
          <w:noProof/>
          <w:rtl/>
        </w:rPr>
        <w:t xml:space="preserve">14.9% </w:t>
      </w:r>
      <w:r>
        <w:rPr>
          <w:noProof/>
        </w:rPr>
        <w:t xml:space="preserve"> of</w:t>
      </w:r>
      <w:r w:rsidRPr="006B30B7">
        <w:rPr>
          <w:noProof/>
        </w:rPr>
        <w:t xml:space="preserve"> the Palestinian households in the occupied Palestinian territories in 1948 consider economic projects for the f</w:t>
      </w:r>
      <w:r>
        <w:rPr>
          <w:noProof/>
        </w:rPr>
        <w:t>amily as a main source of incom.</w:t>
      </w:r>
    </w:p>
    <w:p w:rsidR="00C9334E" w:rsidRPr="00632B94" w:rsidRDefault="00C9334E" w:rsidP="009A2628">
      <w:pPr>
        <w:jc w:val="both"/>
        <w:rPr>
          <w:b/>
          <w:bCs/>
        </w:rPr>
      </w:pPr>
      <w:r w:rsidRPr="00632B94">
        <w:rPr>
          <w:b/>
          <w:bCs/>
        </w:rPr>
        <w:t xml:space="preserve">Education: </w:t>
      </w:r>
    </w:p>
    <w:p w:rsidR="00F70417" w:rsidRPr="00632B94" w:rsidRDefault="00F70417" w:rsidP="001820BE">
      <w:pPr>
        <w:numPr>
          <w:ilvl w:val="0"/>
          <w:numId w:val="1"/>
        </w:numPr>
        <w:ind w:left="714" w:hanging="350"/>
        <w:jc w:val="both"/>
        <w:rPr>
          <w:noProof/>
        </w:rPr>
      </w:pPr>
      <w:r w:rsidRPr="00632B94">
        <w:rPr>
          <w:noProof/>
        </w:rPr>
        <w:t xml:space="preserve">There were </w:t>
      </w:r>
      <w:r w:rsidR="009A2628" w:rsidRPr="00632B94">
        <w:rPr>
          <w:noProof/>
        </w:rPr>
        <w:t>6</w:t>
      </w:r>
      <w:r w:rsidR="00806800" w:rsidRPr="00632B94">
        <w:rPr>
          <w:noProof/>
        </w:rPr>
        <w:t>39</w:t>
      </w:r>
      <w:r w:rsidRPr="00632B94">
        <w:rPr>
          <w:noProof/>
        </w:rPr>
        <w:t xml:space="preserve"> primary schools, including </w:t>
      </w:r>
      <w:r w:rsidR="009A2628" w:rsidRPr="00632B94">
        <w:rPr>
          <w:noProof/>
        </w:rPr>
        <w:t>5</w:t>
      </w:r>
      <w:r w:rsidR="00806800" w:rsidRPr="00632B94">
        <w:rPr>
          <w:noProof/>
        </w:rPr>
        <w:t>5</w:t>
      </w:r>
      <w:r w:rsidR="00F6744D" w:rsidRPr="00632B94">
        <w:rPr>
          <w:noProof/>
        </w:rPr>
        <w:t>9</w:t>
      </w:r>
      <w:r w:rsidRPr="00632B94">
        <w:rPr>
          <w:noProof/>
        </w:rPr>
        <w:t xml:space="preserve"> primary schools</w:t>
      </w:r>
      <w:r w:rsidR="003936AC" w:rsidRPr="00632B94">
        <w:rPr>
          <w:noProof/>
        </w:rPr>
        <w:t xml:space="preserve"> and </w:t>
      </w:r>
      <w:r w:rsidR="00806800" w:rsidRPr="00632B94">
        <w:rPr>
          <w:noProof/>
        </w:rPr>
        <w:t xml:space="preserve">80 </w:t>
      </w:r>
      <w:r w:rsidRPr="00632B94">
        <w:rPr>
          <w:noProof/>
        </w:rPr>
        <w:t xml:space="preserve">schools for children with special needs, </w:t>
      </w:r>
      <w:r w:rsidR="00806800" w:rsidRPr="00632B94">
        <w:rPr>
          <w:noProof/>
        </w:rPr>
        <w:t>213</w:t>
      </w:r>
      <w:r w:rsidRPr="00632B94">
        <w:rPr>
          <w:noProof/>
        </w:rPr>
        <w:t xml:space="preserve"> intermediate schools and </w:t>
      </w:r>
      <w:r w:rsidR="00F540A9" w:rsidRPr="00632B94">
        <w:rPr>
          <w:noProof/>
        </w:rPr>
        <w:t>376</w:t>
      </w:r>
      <w:r w:rsidRPr="00632B94">
        <w:rPr>
          <w:noProof/>
        </w:rPr>
        <w:t xml:space="preserve"> secondary schools</w:t>
      </w:r>
      <w:r w:rsidR="009A2628" w:rsidRPr="00632B94">
        <w:rPr>
          <w:noProof/>
        </w:rPr>
        <w:t xml:space="preserve"> in </w:t>
      </w:r>
      <w:r w:rsidR="001820BE" w:rsidRPr="00632B94">
        <w:rPr>
          <w:noProof/>
        </w:rPr>
        <w:t>2017</w:t>
      </w:r>
      <w:r w:rsidR="009A2628" w:rsidRPr="00632B94">
        <w:rPr>
          <w:noProof/>
        </w:rPr>
        <w:t>/</w:t>
      </w:r>
      <w:r w:rsidR="001820BE" w:rsidRPr="00632B94">
        <w:rPr>
          <w:noProof/>
        </w:rPr>
        <w:t>2018</w:t>
      </w:r>
      <w:r w:rsidRPr="00632B94">
        <w:rPr>
          <w:noProof/>
        </w:rPr>
        <w:t>.</w:t>
      </w:r>
    </w:p>
    <w:p w:rsidR="00F70417" w:rsidRDefault="00F70417" w:rsidP="00BE759F">
      <w:pPr>
        <w:numPr>
          <w:ilvl w:val="0"/>
          <w:numId w:val="1"/>
        </w:numPr>
        <w:ind w:left="714" w:hanging="350"/>
        <w:jc w:val="both"/>
        <w:rPr>
          <w:noProof/>
        </w:rPr>
      </w:pPr>
      <w:r w:rsidRPr="00632B94">
        <w:rPr>
          <w:noProof/>
        </w:rPr>
        <w:t xml:space="preserve">The average number of students per class in primary schools was </w:t>
      </w:r>
      <w:r w:rsidR="00F6744D" w:rsidRPr="00632B94">
        <w:rPr>
          <w:noProof/>
        </w:rPr>
        <w:t>24</w:t>
      </w:r>
      <w:r w:rsidRPr="00632B94">
        <w:rPr>
          <w:noProof/>
        </w:rPr>
        <w:t xml:space="preserve"> students, in  intermediate schools it was </w:t>
      </w:r>
      <w:r w:rsidR="00BE759F">
        <w:rPr>
          <w:noProof/>
        </w:rPr>
        <w:t>27</w:t>
      </w:r>
      <w:r w:rsidRPr="00632B94">
        <w:rPr>
          <w:noProof/>
        </w:rPr>
        <w:t xml:space="preserve"> students per class, and in high schools it was </w:t>
      </w:r>
      <w:r w:rsidR="00BE759F">
        <w:rPr>
          <w:noProof/>
        </w:rPr>
        <w:t>26</w:t>
      </w:r>
      <w:r w:rsidRPr="00632B94">
        <w:rPr>
          <w:noProof/>
        </w:rPr>
        <w:t xml:space="preserve"> students per class for the </w:t>
      </w:r>
      <w:r w:rsidR="00F804E7" w:rsidRPr="00632B94">
        <w:rPr>
          <w:noProof/>
        </w:rPr>
        <w:t>2017</w:t>
      </w:r>
      <w:r w:rsidRPr="00632B94">
        <w:rPr>
          <w:noProof/>
        </w:rPr>
        <w:t>/</w:t>
      </w:r>
      <w:r w:rsidR="00F804E7" w:rsidRPr="00632B94">
        <w:rPr>
          <w:noProof/>
        </w:rPr>
        <w:t>2018</w:t>
      </w:r>
      <w:r w:rsidRPr="00632B94">
        <w:rPr>
          <w:noProof/>
        </w:rPr>
        <w:t xml:space="preserve"> </w:t>
      </w:r>
      <w:r w:rsidR="00C82375" w:rsidRPr="00632B94">
        <w:rPr>
          <w:noProof/>
        </w:rPr>
        <w:t xml:space="preserve">scholastic </w:t>
      </w:r>
      <w:r w:rsidRPr="00632B94">
        <w:rPr>
          <w:noProof/>
        </w:rPr>
        <w:t>year.</w:t>
      </w:r>
    </w:p>
    <w:p w:rsidR="00C54A6C" w:rsidRPr="00632B94" w:rsidRDefault="00C54A6C" w:rsidP="00C54A6C">
      <w:pPr>
        <w:ind w:left="714"/>
        <w:jc w:val="both"/>
        <w:rPr>
          <w:noProof/>
        </w:rPr>
      </w:pPr>
    </w:p>
    <w:p w:rsidR="00C54A6C" w:rsidRPr="00C54A6C" w:rsidRDefault="00C54A6C" w:rsidP="00C54A6C">
      <w:pPr>
        <w:jc w:val="both"/>
        <w:rPr>
          <w:b/>
          <w:bCs/>
        </w:rPr>
      </w:pPr>
      <w:r w:rsidRPr="00C54A6C">
        <w:rPr>
          <w:b/>
          <w:bCs/>
        </w:rPr>
        <w:t>Information Society</w:t>
      </w:r>
      <w:r>
        <w:rPr>
          <w:b/>
          <w:bCs/>
        </w:rPr>
        <w:t>:</w:t>
      </w:r>
    </w:p>
    <w:p w:rsidR="00071EE2" w:rsidRPr="00071EE2" w:rsidRDefault="00071EE2" w:rsidP="00071EE2">
      <w:pPr>
        <w:numPr>
          <w:ilvl w:val="0"/>
          <w:numId w:val="1"/>
        </w:numPr>
        <w:ind w:left="714" w:hanging="350"/>
        <w:jc w:val="both"/>
        <w:rPr>
          <w:noProof/>
        </w:rPr>
      </w:pPr>
      <w:r w:rsidRPr="00071EE2">
        <w:rPr>
          <w:noProof/>
          <w:rtl/>
        </w:rPr>
        <w:t>59.9</w:t>
      </w:r>
      <w:r>
        <w:rPr>
          <w:noProof/>
        </w:rPr>
        <w:t>%</w:t>
      </w:r>
      <w:r w:rsidRPr="00071EE2">
        <w:rPr>
          <w:noProof/>
          <w:rtl/>
        </w:rPr>
        <w:t xml:space="preserve"> </w:t>
      </w:r>
      <w:r w:rsidRPr="00071EE2">
        <w:rPr>
          <w:noProof/>
        </w:rPr>
        <w:t>of Palestinians in the occupied Palestinian territories aged 5 years and over use computers during the year 2017</w:t>
      </w:r>
      <w:r>
        <w:rPr>
          <w:noProof/>
        </w:rPr>
        <w:t>.</w:t>
      </w:r>
    </w:p>
    <w:p w:rsidR="00071EE2" w:rsidRPr="00071EE2" w:rsidRDefault="00071EE2" w:rsidP="00071EE2">
      <w:pPr>
        <w:numPr>
          <w:ilvl w:val="0"/>
          <w:numId w:val="1"/>
        </w:numPr>
        <w:ind w:left="714" w:hanging="350"/>
        <w:jc w:val="both"/>
        <w:rPr>
          <w:noProof/>
        </w:rPr>
      </w:pPr>
      <w:r>
        <w:rPr>
          <w:rFonts w:hint="cs"/>
          <w:noProof/>
          <w:rtl/>
        </w:rPr>
        <w:t>84.7</w:t>
      </w:r>
      <w:r>
        <w:rPr>
          <w:noProof/>
        </w:rPr>
        <w:t>%</w:t>
      </w:r>
      <w:r w:rsidRPr="00071EE2">
        <w:rPr>
          <w:noProof/>
          <w:rtl/>
        </w:rPr>
        <w:t xml:space="preserve"> </w:t>
      </w:r>
      <w:r w:rsidRPr="00071EE2">
        <w:rPr>
          <w:noProof/>
        </w:rPr>
        <w:t>of the Palestinians in the Occupied Palestinian Territories (aged 5 years and over) use the Internet during the year 2017</w:t>
      </w:r>
      <w:r>
        <w:rPr>
          <w:noProof/>
        </w:rPr>
        <w:t>.</w:t>
      </w:r>
    </w:p>
    <w:p w:rsidR="00071EE2" w:rsidRPr="00071EE2" w:rsidRDefault="00071EE2" w:rsidP="00071EE2">
      <w:pPr>
        <w:ind w:left="714"/>
        <w:jc w:val="both"/>
        <w:rPr>
          <w:noProof/>
        </w:rPr>
      </w:pPr>
    </w:p>
    <w:p w:rsidR="000D061C" w:rsidRPr="00632B94" w:rsidRDefault="000D061C" w:rsidP="000D061C">
      <w:pPr>
        <w:jc w:val="both"/>
        <w:rPr>
          <w:b/>
          <w:bCs/>
        </w:rPr>
      </w:pPr>
      <w:r w:rsidRPr="00632B94">
        <w:rPr>
          <w:b/>
          <w:bCs/>
        </w:rPr>
        <w:t>Labor</w:t>
      </w:r>
      <w:r w:rsidR="00071EE2">
        <w:rPr>
          <w:b/>
          <w:bCs/>
        </w:rPr>
        <w:t xml:space="preserve"> Force</w:t>
      </w:r>
      <w:r w:rsidRPr="00632B94">
        <w:rPr>
          <w:b/>
          <w:bCs/>
        </w:rPr>
        <w:t>:</w:t>
      </w:r>
    </w:p>
    <w:p w:rsidR="000D061C" w:rsidRPr="00632B94" w:rsidRDefault="000D061C" w:rsidP="009A1CDF">
      <w:pPr>
        <w:numPr>
          <w:ilvl w:val="0"/>
          <w:numId w:val="1"/>
        </w:numPr>
        <w:ind w:left="714" w:hanging="350"/>
        <w:jc w:val="both"/>
        <w:rPr>
          <w:noProof/>
        </w:rPr>
      </w:pPr>
      <w:r w:rsidRPr="00632B94">
        <w:rPr>
          <w:noProof/>
        </w:rPr>
        <w:t xml:space="preserve">The labor force participation rate among Palestinians (15 years and above) was </w:t>
      </w:r>
      <w:r w:rsidR="009A1CDF" w:rsidRPr="00632B94">
        <w:rPr>
          <w:noProof/>
        </w:rPr>
        <w:t>49</w:t>
      </w:r>
      <w:r w:rsidRPr="00632B94">
        <w:rPr>
          <w:noProof/>
        </w:rPr>
        <w:t>.</w:t>
      </w:r>
      <w:r w:rsidR="009A1CDF" w:rsidRPr="00632B94">
        <w:rPr>
          <w:noProof/>
        </w:rPr>
        <w:t>9</w:t>
      </w:r>
      <w:r w:rsidRPr="00632B94">
        <w:rPr>
          <w:noProof/>
        </w:rPr>
        <w:t>%: 6</w:t>
      </w:r>
      <w:r w:rsidR="009A1CDF" w:rsidRPr="00632B94">
        <w:rPr>
          <w:noProof/>
        </w:rPr>
        <w:t>6</w:t>
      </w:r>
      <w:r w:rsidRPr="00632B94">
        <w:rPr>
          <w:noProof/>
        </w:rPr>
        <w:t>.</w:t>
      </w:r>
      <w:r w:rsidR="009A1CDF" w:rsidRPr="00632B94">
        <w:rPr>
          <w:noProof/>
        </w:rPr>
        <w:t>6</w:t>
      </w:r>
      <w:r w:rsidRPr="00632B94">
        <w:rPr>
          <w:noProof/>
        </w:rPr>
        <w:t xml:space="preserve">% for males, and </w:t>
      </w:r>
      <w:r w:rsidR="009A1CDF" w:rsidRPr="00632B94">
        <w:rPr>
          <w:noProof/>
        </w:rPr>
        <w:t>32</w:t>
      </w:r>
      <w:r w:rsidRPr="00632B94">
        <w:rPr>
          <w:noProof/>
        </w:rPr>
        <w:t>.</w:t>
      </w:r>
      <w:r w:rsidR="009A1CDF" w:rsidRPr="00632B94">
        <w:rPr>
          <w:noProof/>
        </w:rPr>
        <w:t>9</w:t>
      </w:r>
      <w:r w:rsidRPr="00632B94">
        <w:rPr>
          <w:noProof/>
        </w:rPr>
        <w:t xml:space="preserve">% for females in </w:t>
      </w:r>
      <w:r w:rsidR="009A1CDF" w:rsidRPr="00632B94">
        <w:rPr>
          <w:noProof/>
        </w:rPr>
        <w:t>2017</w:t>
      </w:r>
      <w:r w:rsidRPr="00632B94">
        <w:rPr>
          <w:noProof/>
        </w:rPr>
        <w:t>.</w:t>
      </w:r>
    </w:p>
    <w:p w:rsidR="000D061C" w:rsidRPr="00632B94" w:rsidRDefault="000D061C" w:rsidP="009A1CDF">
      <w:pPr>
        <w:numPr>
          <w:ilvl w:val="0"/>
          <w:numId w:val="1"/>
        </w:numPr>
        <w:ind w:left="714" w:hanging="350"/>
        <w:jc w:val="both"/>
        <w:rPr>
          <w:noProof/>
        </w:rPr>
      </w:pPr>
      <w:r w:rsidRPr="00632B94">
        <w:rPr>
          <w:noProof/>
        </w:rPr>
        <w:t xml:space="preserve">The unemployment rate was </w:t>
      </w:r>
      <w:r w:rsidR="009A1CDF" w:rsidRPr="00632B94">
        <w:rPr>
          <w:noProof/>
        </w:rPr>
        <w:t>3.7</w:t>
      </w:r>
      <w:r w:rsidRPr="00632B94">
        <w:rPr>
          <w:noProof/>
        </w:rPr>
        <w:t xml:space="preserve">%: </w:t>
      </w:r>
      <w:r w:rsidR="009A1CDF" w:rsidRPr="00632B94">
        <w:rPr>
          <w:noProof/>
        </w:rPr>
        <w:t>6.6</w:t>
      </w:r>
      <w:r w:rsidRPr="00632B94">
        <w:rPr>
          <w:noProof/>
        </w:rPr>
        <w:t xml:space="preserve">% for females and </w:t>
      </w:r>
      <w:r w:rsidR="009A1CDF" w:rsidRPr="00632B94">
        <w:rPr>
          <w:noProof/>
        </w:rPr>
        <w:t>2.2</w:t>
      </w:r>
      <w:r w:rsidRPr="00632B94">
        <w:rPr>
          <w:noProof/>
        </w:rPr>
        <w:t xml:space="preserve">% for males in </w:t>
      </w:r>
      <w:r w:rsidR="009A1CDF" w:rsidRPr="00632B94">
        <w:rPr>
          <w:noProof/>
        </w:rPr>
        <w:t>2017</w:t>
      </w:r>
      <w:r w:rsidRPr="00632B94">
        <w:rPr>
          <w:noProof/>
        </w:rPr>
        <w:t>.</w:t>
      </w:r>
    </w:p>
    <w:p w:rsidR="00F70417" w:rsidRDefault="00F70417" w:rsidP="00F70417">
      <w:pPr>
        <w:ind w:left="-14"/>
        <w:jc w:val="both"/>
        <w:rPr>
          <w:noProof/>
          <w:sz w:val="10"/>
          <w:szCs w:val="10"/>
        </w:rPr>
      </w:pPr>
    </w:p>
    <w:p w:rsidR="00742C2C" w:rsidRPr="00632B94" w:rsidRDefault="00742C2C" w:rsidP="00F70417">
      <w:pPr>
        <w:ind w:left="-14"/>
        <w:jc w:val="both"/>
        <w:rPr>
          <w:noProof/>
          <w:sz w:val="10"/>
          <w:szCs w:val="10"/>
        </w:rPr>
      </w:pPr>
    </w:p>
    <w:p w:rsidR="00B5698C" w:rsidRPr="007B3C9D" w:rsidRDefault="007B3C9D" w:rsidP="007B3C9D">
      <w:pPr>
        <w:jc w:val="both"/>
        <w:rPr>
          <w:b/>
          <w:bCs/>
        </w:rPr>
      </w:pPr>
      <w:r w:rsidRPr="007B3C9D">
        <w:rPr>
          <w:b/>
          <w:bCs/>
        </w:rPr>
        <w:t>Health</w:t>
      </w:r>
      <w:r>
        <w:rPr>
          <w:b/>
          <w:bCs/>
        </w:rPr>
        <w:t>:</w:t>
      </w:r>
    </w:p>
    <w:p w:rsidR="007B3C9D" w:rsidRPr="007B3C9D" w:rsidRDefault="007B3C9D" w:rsidP="007B3C9D">
      <w:pPr>
        <w:numPr>
          <w:ilvl w:val="0"/>
          <w:numId w:val="1"/>
        </w:numPr>
        <w:ind w:left="714" w:hanging="350"/>
        <w:jc w:val="both"/>
        <w:rPr>
          <w:noProof/>
        </w:rPr>
      </w:pPr>
      <w:r>
        <w:rPr>
          <w:noProof/>
        </w:rPr>
        <w:t>7.6%</w:t>
      </w:r>
      <w:r w:rsidRPr="007B3C9D">
        <w:rPr>
          <w:noProof/>
          <w:rtl/>
        </w:rPr>
        <w:t xml:space="preserve"> </w:t>
      </w:r>
      <w:r w:rsidRPr="007B3C9D">
        <w:rPr>
          <w:noProof/>
        </w:rPr>
        <w:t>of all Palestinians in the occupied Palestinian territories in 1948 reported that they suffer from diabetes in 2017</w:t>
      </w:r>
      <w:r>
        <w:rPr>
          <w:noProof/>
        </w:rPr>
        <w:t>.</w:t>
      </w:r>
    </w:p>
    <w:p w:rsidR="007B3C9D" w:rsidRPr="007B3C9D" w:rsidRDefault="007B3C9D" w:rsidP="007B3C9D">
      <w:pPr>
        <w:numPr>
          <w:ilvl w:val="0"/>
          <w:numId w:val="1"/>
        </w:numPr>
        <w:ind w:left="714" w:hanging="350"/>
        <w:jc w:val="both"/>
        <w:rPr>
          <w:noProof/>
        </w:rPr>
      </w:pPr>
      <w:r>
        <w:rPr>
          <w:noProof/>
        </w:rPr>
        <w:t xml:space="preserve">31.6% </w:t>
      </w:r>
      <w:r w:rsidRPr="007B3C9D">
        <w:rPr>
          <w:noProof/>
        </w:rPr>
        <w:t>of the population (15 years and over) practiced smoking in 2017, 54.4% among males and 7.7% among females</w:t>
      </w:r>
      <w:r w:rsidRPr="007B3C9D">
        <w:rPr>
          <w:noProof/>
          <w:rtl/>
        </w:rPr>
        <w:t>.</w:t>
      </w:r>
    </w:p>
    <w:p w:rsidR="005F2A7D" w:rsidRPr="007B3C9D" w:rsidRDefault="005F2A7D" w:rsidP="007B3C9D">
      <w:pPr>
        <w:ind w:left="714"/>
        <w:jc w:val="both"/>
        <w:rPr>
          <w:noProof/>
        </w:rPr>
      </w:pPr>
    </w:p>
    <w:p w:rsidR="005F2A7D" w:rsidRPr="00D25D59" w:rsidRDefault="00D25D59" w:rsidP="00D25D59">
      <w:pPr>
        <w:jc w:val="both"/>
        <w:rPr>
          <w:b/>
          <w:bCs/>
        </w:rPr>
      </w:pPr>
      <w:r w:rsidRPr="00D25D59">
        <w:rPr>
          <w:b/>
          <w:bCs/>
        </w:rPr>
        <w:t>Environment</w:t>
      </w:r>
      <w:r>
        <w:rPr>
          <w:b/>
          <w:bCs/>
        </w:rPr>
        <w:t>:</w:t>
      </w:r>
    </w:p>
    <w:p w:rsidR="005F2A7D" w:rsidRPr="007B3C9D" w:rsidRDefault="00F4057D" w:rsidP="00F4057D">
      <w:pPr>
        <w:numPr>
          <w:ilvl w:val="0"/>
          <w:numId w:val="1"/>
        </w:numPr>
        <w:ind w:left="714" w:hanging="350"/>
        <w:jc w:val="both"/>
        <w:rPr>
          <w:noProof/>
        </w:rPr>
      </w:pPr>
      <w:r>
        <w:rPr>
          <w:noProof/>
        </w:rPr>
        <w:t>30.6%</w:t>
      </w:r>
      <w:r w:rsidRPr="00F4057D">
        <w:rPr>
          <w:noProof/>
          <w:rtl/>
        </w:rPr>
        <w:t xml:space="preserve"> </w:t>
      </w:r>
      <w:r w:rsidRPr="00F4057D">
        <w:rPr>
          <w:noProof/>
        </w:rPr>
        <w:t>of individuals (18 years and over) in the Occupied Palestinian Territories in 1948 suffer from noise problems in their residential environment during the year 2017</w:t>
      </w:r>
      <w:r>
        <w:rPr>
          <w:noProof/>
        </w:rPr>
        <w:t>.</w:t>
      </w:r>
    </w:p>
    <w:p w:rsidR="00742C2C" w:rsidRDefault="00742C2C" w:rsidP="00742C2C">
      <w:pPr>
        <w:pStyle w:val="ListParagraph"/>
        <w:bidi w:val="0"/>
        <w:ind w:left="360"/>
        <w:jc w:val="lowKashida"/>
        <w:rPr>
          <w:rFonts w:cs="Times New Roman"/>
          <w:b/>
          <w:bCs/>
          <w:i/>
          <w:iCs/>
          <w:sz w:val="18"/>
          <w:szCs w:val="18"/>
          <w:u w:val="single"/>
        </w:rPr>
      </w:pPr>
      <w:r w:rsidRPr="00332048">
        <w:rPr>
          <w:rFonts w:cs="Times New Roman"/>
          <w:b/>
          <w:bCs/>
          <w:i/>
          <w:iCs/>
          <w:sz w:val="18"/>
          <w:szCs w:val="18"/>
          <w:u w:val="single"/>
        </w:rPr>
        <w:t>For more details on Palestinians in the Occupied Palestinian Territory in 1948,</w:t>
      </w:r>
      <w:r>
        <w:rPr>
          <w:rFonts w:cs="Times New Roman"/>
          <w:b/>
          <w:bCs/>
          <w:i/>
          <w:iCs/>
          <w:sz w:val="18"/>
          <w:szCs w:val="18"/>
          <w:u w:val="single"/>
        </w:rPr>
        <w:t xml:space="preserve"> </w:t>
      </w:r>
      <w:r w:rsidRPr="00332048">
        <w:rPr>
          <w:rFonts w:cs="Times New Roman"/>
          <w:b/>
          <w:bCs/>
          <w:i/>
          <w:iCs/>
          <w:sz w:val="18"/>
          <w:szCs w:val="18"/>
          <w:u w:val="single"/>
        </w:rPr>
        <w:t>see the  tables in chapter 2 of the Arabic section, pages 25</w:t>
      </w:r>
      <w:r w:rsidRPr="00332048">
        <w:rPr>
          <w:rFonts w:cs="Times New Roman" w:hint="cs"/>
          <w:b/>
          <w:bCs/>
          <w:i/>
          <w:iCs/>
          <w:sz w:val="18"/>
          <w:szCs w:val="18"/>
          <w:u w:val="single"/>
          <w:rtl/>
        </w:rPr>
        <w:t>5</w:t>
      </w:r>
      <w:r w:rsidRPr="00332048">
        <w:rPr>
          <w:rFonts w:cs="Times New Roman"/>
          <w:b/>
          <w:bCs/>
          <w:i/>
          <w:iCs/>
          <w:sz w:val="18"/>
          <w:szCs w:val="18"/>
          <w:u w:val="single"/>
        </w:rPr>
        <w:t>-</w:t>
      </w:r>
      <w:r w:rsidRPr="00332048">
        <w:rPr>
          <w:rFonts w:cs="Times New Roman" w:hint="cs"/>
          <w:b/>
          <w:bCs/>
          <w:i/>
          <w:iCs/>
          <w:sz w:val="18"/>
          <w:szCs w:val="18"/>
          <w:u w:val="single"/>
          <w:rtl/>
        </w:rPr>
        <w:t>302</w:t>
      </w:r>
      <w:r w:rsidRPr="00332048">
        <w:rPr>
          <w:rFonts w:cs="Times New Roman"/>
          <w:b/>
          <w:bCs/>
          <w:i/>
          <w:iCs/>
          <w:sz w:val="18"/>
          <w:szCs w:val="18"/>
          <w:u w:val="single"/>
        </w:rPr>
        <w:t>.</w:t>
      </w:r>
    </w:p>
    <w:p w:rsidR="003640B2" w:rsidRPr="007B3C9D" w:rsidRDefault="003640B2" w:rsidP="007B3C9D">
      <w:pPr>
        <w:numPr>
          <w:ilvl w:val="0"/>
          <w:numId w:val="1"/>
        </w:numPr>
        <w:ind w:left="714" w:hanging="350"/>
        <w:jc w:val="both"/>
        <w:rPr>
          <w:noProof/>
        </w:rPr>
      </w:pPr>
      <w:r w:rsidRPr="007B3C9D">
        <w:rPr>
          <w:noProof/>
        </w:rPr>
        <w:br w:type="page"/>
      </w:r>
    </w:p>
    <w:p w:rsidR="00B5698C" w:rsidRPr="00632B94" w:rsidRDefault="00C65AB2" w:rsidP="007253BE">
      <w:pPr>
        <w:pStyle w:val="Title"/>
        <w:bidi w:val="0"/>
      </w:pPr>
      <w:r w:rsidRPr="00632B94">
        <w:t>Palestinians in the Diaspora</w:t>
      </w:r>
    </w:p>
    <w:p w:rsidR="00B5698C" w:rsidRPr="00632B94" w:rsidRDefault="005356E0" w:rsidP="00B5698C">
      <w:pPr>
        <w:jc w:val="both"/>
        <w:rPr>
          <w:sz w:val="10"/>
          <w:szCs w:val="10"/>
        </w:rPr>
      </w:pPr>
      <w:r w:rsidRPr="005356E0">
        <w:rPr>
          <w:noProof/>
        </w:rPr>
        <w:pict>
          <v:rect id="_x0000_s1027" style="position:absolute;left:0;text-align:left;margin-left:303.35pt;margin-top:-22.8pt;width:42pt;height:24pt;z-index:251654144">
            <v:textbox style="mso-next-textbox:#_x0000_s1027">
              <w:txbxContent>
                <w:p w:rsidR="00C10B40" w:rsidRDefault="00C10B40" w:rsidP="003C6F02">
                  <w:pPr>
                    <w:jc w:val="center"/>
                    <w:rPr>
                      <w:b/>
                      <w:bCs/>
                      <w:sz w:val="28"/>
                      <w:szCs w:val="28"/>
                    </w:rPr>
                  </w:pPr>
                  <w:r>
                    <w:rPr>
                      <w:b/>
                      <w:bCs/>
                      <w:sz w:val="28"/>
                      <w:szCs w:val="28"/>
                    </w:rPr>
                    <w:t>3.1</w:t>
                  </w:r>
                </w:p>
              </w:txbxContent>
            </v:textbox>
          </v:rect>
        </w:pict>
      </w:r>
    </w:p>
    <w:p w:rsidR="00DC67CE" w:rsidRPr="00632B94" w:rsidRDefault="00DC67CE" w:rsidP="00DC67CE">
      <w:pPr>
        <w:ind w:left="-14"/>
        <w:jc w:val="both"/>
        <w:rPr>
          <w:noProof/>
        </w:rPr>
      </w:pPr>
      <w:bookmarkStart w:id="2" w:name="OLE_LINK1"/>
    </w:p>
    <w:p w:rsidR="00C9334E" w:rsidRPr="005779E5" w:rsidRDefault="00C9334E" w:rsidP="00C82375">
      <w:pPr>
        <w:jc w:val="lowKashida"/>
      </w:pPr>
      <w:r w:rsidRPr="005779E5">
        <w:t xml:space="preserve">The </w:t>
      </w:r>
      <w:proofErr w:type="spellStart"/>
      <w:r w:rsidRPr="005779E5">
        <w:t>Nakba</w:t>
      </w:r>
      <w:proofErr w:type="spellEnd"/>
      <w:r w:rsidRPr="005779E5">
        <w:t xml:space="preserve"> (Catastrophe) constituted a black period in </w:t>
      </w:r>
      <w:r w:rsidR="00204A61">
        <w:t xml:space="preserve">the </w:t>
      </w:r>
      <w:r w:rsidRPr="005779E5">
        <w:t>Palestinian history,</w:t>
      </w:r>
      <w:r w:rsidRPr="005779E5">
        <w:rPr>
          <w:rFonts w:hint="cs"/>
          <w:rtl/>
          <w:lang w:val="en-GB"/>
        </w:rPr>
        <w:t xml:space="preserve"> </w:t>
      </w:r>
      <w:r w:rsidRPr="005779E5">
        <w:t>when the Palestinian people were confronted with indescribable acts of oppression, dispossession and suffering.</w:t>
      </w:r>
    </w:p>
    <w:p w:rsidR="00C9334E" w:rsidRPr="005779E5" w:rsidRDefault="00C9334E" w:rsidP="00C9334E">
      <w:pPr>
        <w:jc w:val="lowKashida"/>
      </w:pPr>
    </w:p>
    <w:p w:rsidR="00C9334E" w:rsidRPr="005779E5" w:rsidRDefault="00C9334E" w:rsidP="008072F4">
      <w:pPr>
        <w:jc w:val="lowKashida"/>
      </w:pPr>
      <w:r w:rsidRPr="005779E5">
        <w:t xml:space="preserve">Palestinians who sought refuge in countries outside Palestine encountered all types of abuse and agonies.  On the one hand, they were uprooted from their homeland and deprived of their property and homes.  On the other hand, they sought refuge in countries where they had no power or will. At the time of their dispossession, the Palestinians felt that their expulsion and refugee status would be temporary. They believed that their situation would not last more than several weeks or months, after which they would return in victory and with their honor restored. Thus, they paid little attention to their living circumstances in their host countries. </w:t>
      </w:r>
      <w:r w:rsidR="00C82FEC" w:rsidRPr="005779E5">
        <w:t xml:space="preserve">Their hearts remained with Palestine, waiting for the signal for return. Year after another they realized that the </w:t>
      </w:r>
      <w:proofErr w:type="spellStart"/>
      <w:r w:rsidR="00C82FEC" w:rsidRPr="005779E5">
        <w:t>Nakba</w:t>
      </w:r>
      <w:proofErr w:type="spellEnd"/>
      <w:r w:rsidR="00C82FEC" w:rsidRPr="005779E5">
        <w:t xml:space="preserve"> </w:t>
      </w:r>
      <w:r w:rsidRPr="005779E5">
        <w:t>would last longer than expected, and that Palestinians would endure more pain and suffering. Popular movements and organizations emerged to defend the rights of the Palestinians wherever they were located. The situation remained unchanged with no unified political and powerful entity representing all the Palestinians of the Diaspora until the foundation of the Palestine Liberation Organization (PLO). The emergence of the Palestinian revolt in 1965 caught the attention of most countries and gained their recognition. The PLO then became the sole political representative of all Palestinians everywhere, in spite of the fact that part of the Palestinian territory was subject to Arab administration (Jordan in the West Bank and Egypt in Gaza Strip).</w:t>
      </w:r>
    </w:p>
    <w:p w:rsidR="00C9334E" w:rsidRPr="005779E5" w:rsidRDefault="00C9334E" w:rsidP="00C9334E">
      <w:pPr>
        <w:jc w:val="lowKashida"/>
      </w:pPr>
    </w:p>
    <w:p w:rsidR="00C9334E" w:rsidRPr="005779E5" w:rsidRDefault="00C9334E" w:rsidP="00C01D28">
      <w:pPr>
        <w:jc w:val="lowKashida"/>
      </w:pPr>
      <w:r w:rsidRPr="005779E5">
        <w:t xml:space="preserve">PCBS has been constantly working on collecting, tabulating and disseminating statistical data on the Palestinians both in Palestine and in the Diaspora.  This task always </w:t>
      </w:r>
      <w:r w:rsidR="00541629" w:rsidRPr="005779E5">
        <w:t xml:space="preserve">faces </w:t>
      </w:r>
      <w:r w:rsidRPr="005779E5">
        <w:t>several constraints such as the shortage of separate</w:t>
      </w:r>
      <w:r w:rsidR="00C01D28" w:rsidRPr="005779E5">
        <w:t xml:space="preserve"> and </w:t>
      </w:r>
      <w:proofErr w:type="spellStart"/>
      <w:r w:rsidR="00C01D28" w:rsidRPr="005779E5">
        <w:t>independant</w:t>
      </w:r>
      <w:proofErr w:type="spellEnd"/>
      <w:r w:rsidRPr="005779E5">
        <w:t xml:space="preserve"> data on Palestinians in the Diaspora, as well as </w:t>
      </w:r>
      <w:r w:rsidR="007F4A1F" w:rsidRPr="005779E5">
        <w:t>the</w:t>
      </w:r>
      <w:r w:rsidRPr="005779E5">
        <w:t xml:space="preserve"> </w:t>
      </w:r>
      <w:r w:rsidR="007F4A1F" w:rsidRPr="005779E5">
        <w:t>outdate</w:t>
      </w:r>
      <w:r w:rsidR="00C01D28" w:rsidRPr="005779E5">
        <w:t>d</w:t>
      </w:r>
      <w:r w:rsidRPr="005779E5">
        <w:t xml:space="preserve"> </w:t>
      </w:r>
      <w:r w:rsidR="007F4A1F" w:rsidRPr="005779E5">
        <w:t xml:space="preserve">available </w:t>
      </w:r>
      <w:r w:rsidRPr="005779E5">
        <w:t xml:space="preserve">data; </w:t>
      </w:r>
      <w:r w:rsidR="00C01D28" w:rsidRPr="005779E5">
        <w:t xml:space="preserve">which is </w:t>
      </w:r>
      <w:r w:rsidR="00C82FEC" w:rsidRPr="005779E5">
        <w:t>mainly excerpted</w:t>
      </w:r>
      <w:bookmarkStart w:id="3" w:name="_GoBack"/>
      <w:bookmarkEnd w:id="3"/>
      <w:r w:rsidR="00C82FEC" w:rsidRPr="005779E5">
        <w:t xml:space="preserve"> from</w:t>
      </w:r>
      <w:r w:rsidRPr="005779E5">
        <w:t xml:space="preserve"> UNRWA records.  We hope to overcome </w:t>
      </w:r>
      <w:r w:rsidR="00C01D28" w:rsidRPr="005779E5">
        <w:t xml:space="preserve">those </w:t>
      </w:r>
      <w:r w:rsidRPr="005779E5">
        <w:t xml:space="preserve">constraints in the near future.  </w:t>
      </w:r>
    </w:p>
    <w:p w:rsidR="00C9334E" w:rsidRPr="005779E5" w:rsidRDefault="00C9334E" w:rsidP="00C9334E">
      <w:pPr>
        <w:jc w:val="lowKashida"/>
      </w:pPr>
    </w:p>
    <w:p w:rsidR="00C9334E" w:rsidRPr="005779E5" w:rsidRDefault="00C9334E" w:rsidP="00C9334E">
      <w:pPr>
        <w:jc w:val="lowKashida"/>
      </w:pPr>
      <w:r w:rsidRPr="005779E5">
        <w:t xml:space="preserve">The difficulty in creating a statistical database about Palestinians in the Diaspora lies in their dispersion both among a number of countries and within different areas of such countries. The Palestinians did not consider their communities as isolated ghettos; instead, they participated in the life of the countries they resided in, but retained their distinctiveness and identity at the same time.  The civil and administrative laws of the host countries made this task more difficult, by preventing integration with the population that resides there. </w:t>
      </w:r>
    </w:p>
    <w:p w:rsidR="00C9334E" w:rsidRPr="005779E5" w:rsidRDefault="00C9334E" w:rsidP="00C9334E">
      <w:pPr>
        <w:jc w:val="lowKashida"/>
      </w:pPr>
    </w:p>
    <w:p w:rsidR="00C9334E" w:rsidRPr="005779E5" w:rsidRDefault="00973D78" w:rsidP="00973D78">
      <w:pPr>
        <w:jc w:val="lowKashida"/>
      </w:pPr>
      <w:r w:rsidRPr="005779E5">
        <w:t>Th</w:t>
      </w:r>
      <w:r>
        <w:t>o</w:t>
      </w:r>
      <w:r w:rsidRPr="005779E5">
        <w:t xml:space="preserve">se </w:t>
      </w:r>
      <w:r w:rsidR="00C9334E" w:rsidRPr="005779E5">
        <w:t>hindrances and other subjective complications made it difficult to provide consistent and comprehensive statistical data on all Palestinians in the Diaspora.</w:t>
      </w:r>
    </w:p>
    <w:p w:rsidR="00C9334E" w:rsidRPr="005779E5" w:rsidRDefault="00C9334E" w:rsidP="00C9334E">
      <w:pPr>
        <w:jc w:val="lowKashida"/>
      </w:pPr>
      <w:r w:rsidRPr="005779E5">
        <w:t>This chapter puts forth a set of data and statistical indicators dealing with population, employment, education, health and living and housing conditions for the Palestinians living in the Diaspora, especially in Jordan, Syria and Lebanon.</w:t>
      </w:r>
    </w:p>
    <w:p w:rsidR="00C9334E" w:rsidRPr="005779E5" w:rsidRDefault="00C9334E" w:rsidP="00C9334E">
      <w:pPr>
        <w:jc w:val="lowKashida"/>
      </w:pPr>
    </w:p>
    <w:p w:rsidR="00C9334E" w:rsidRDefault="00C9334E" w:rsidP="00C9334E">
      <w:pPr>
        <w:jc w:val="both"/>
        <w:rPr>
          <w:b/>
          <w:bCs/>
        </w:rPr>
      </w:pPr>
    </w:p>
    <w:p w:rsidR="007C7659" w:rsidRDefault="007C7659" w:rsidP="00C9334E">
      <w:pPr>
        <w:jc w:val="both"/>
        <w:rPr>
          <w:b/>
          <w:bCs/>
        </w:rPr>
      </w:pPr>
    </w:p>
    <w:p w:rsidR="007C7659" w:rsidRDefault="007C7659" w:rsidP="00C9334E">
      <w:pPr>
        <w:jc w:val="both"/>
        <w:rPr>
          <w:b/>
          <w:bCs/>
        </w:rPr>
      </w:pPr>
    </w:p>
    <w:p w:rsidR="007C7659" w:rsidRPr="00632B94" w:rsidRDefault="007C7659" w:rsidP="00C9334E">
      <w:pPr>
        <w:jc w:val="both"/>
        <w:rPr>
          <w:b/>
          <w:bCs/>
        </w:rPr>
      </w:pPr>
    </w:p>
    <w:p w:rsidR="00C9334E" w:rsidRPr="00632B94" w:rsidRDefault="00C9334E" w:rsidP="00C9334E">
      <w:pPr>
        <w:jc w:val="both"/>
        <w:rPr>
          <w:b/>
          <w:bCs/>
        </w:rPr>
      </w:pPr>
      <w:r w:rsidRPr="00632B94">
        <w:rPr>
          <w:b/>
          <w:bCs/>
        </w:rPr>
        <w:t xml:space="preserve">Population: </w:t>
      </w:r>
    </w:p>
    <w:bookmarkEnd w:id="2"/>
    <w:p w:rsidR="00BB6D0F" w:rsidRPr="00632B94" w:rsidRDefault="00BB6D0F" w:rsidP="004E7170">
      <w:pPr>
        <w:jc w:val="lowKashida"/>
        <w:rPr>
          <w:sz w:val="10"/>
          <w:szCs w:val="10"/>
        </w:rPr>
      </w:pPr>
    </w:p>
    <w:p w:rsidR="00B53B3A" w:rsidRDefault="00B53B3A" w:rsidP="008072F4">
      <w:pPr>
        <w:numPr>
          <w:ilvl w:val="0"/>
          <w:numId w:val="1"/>
        </w:numPr>
        <w:ind w:left="714" w:hanging="350"/>
        <w:jc w:val="both"/>
        <w:rPr>
          <w:noProof/>
        </w:rPr>
      </w:pPr>
      <w:r w:rsidRPr="00632B94">
        <w:rPr>
          <w:noProof/>
        </w:rPr>
        <w:t>There were 5.</w:t>
      </w:r>
      <w:r w:rsidR="001B4B14" w:rsidRPr="00632B94">
        <w:rPr>
          <w:noProof/>
        </w:rPr>
        <w:t>9</w:t>
      </w:r>
      <w:r w:rsidRPr="00632B94">
        <w:rPr>
          <w:noProof/>
        </w:rPr>
        <w:t xml:space="preserve"> million Palestinian refugees registered in Jordan, Syria, Lebanon and Palestine </w:t>
      </w:r>
      <w:r w:rsidR="008072F4" w:rsidRPr="00632B94">
        <w:t xml:space="preserve">in </w:t>
      </w:r>
      <w:r w:rsidRPr="00632B94">
        <w:t xml:space="preserve">January </w:t>
      </w:r>
      <w:r w:rsidR="001B4B14" w:rsidRPr="00632B94">
        <w:rPr>
          <w:rFonts w:hint="cs"/>
          <w:rtl/>
        </w:rPr>
        <w:t>2017</w:t>
      </w:r>
      <w:r w:rsidRPr="00632B94">
        <w:rPr>
          <w:noProof/>
        </w:rPr>
        <w:t>.</w:t>
      </w:r>
    </w:p>
    <w:p w:rsidR="005C4CFE" w:rsidRPr="00632B94" w:rsidRDefault="005C4CFE" w:rsidP="008072F4">
      <w:pPr>
        <w:numPr>
          <w:ilvl w:val="0"/>
          <w:numId w:val="1"/>
        </w:numPr>
        <w:ind w:left="714" w:hanging="350"/>
        <w:jc w:val="both"/>
        <w:rPr>
          <w:noProof/>
        </w:rPr>
      </w:pPr>
      <w:r w:rsidRPr="005C4CFE">
        <w:rPr>
          <w:noProof/>
        </w:rPr>
        <w:t>The number of Palestinian refugees registered in Jordan, Syria, Lebanon and Palestine and those living in Palestinian refugee camps reached about 1.7 million in January 2017</w:t>
      </w:r>
    </w:p>
    <w:p w:rsidR="00C9334E" w:rsidRPr="00632B94" w:rsidRDefault="00C9334E" w:rsidP="00C9334E">
      <w:pPr>
        <w:jc w:val="both"/>
        <w:rPr>
          <w:b/>
          <w:bCs/>
        </w:rPr>
      </w:pPr>
    </w:p>
    <w:p w:rsidR="00C9334E" w:rsidRPr="00632B94" w:rsidRDefault="00C9334E" w:rsidP="00C9334E">
      <w:pPr>
        <w:jc w:val="both"/>
        <w:rPr>
          <w:b/>
          <w:bCs/>
        </w:rPr>
      </w:pPr>
      <w:r w:rsidRPr="00632B94">
        <w:rPr>
          <w:b/>
          <w:bCs/>
        </w:rPr>
        <w:t>Health:</w:t>
      </w:r>
    </w:p>
    <w:p w:rsidR="00E26649" w:rsidRPr="00632B94" w:rsidRDefault="00B5698C" w:rsidP="0081681C">
      <w:pPr>
        <w:numPr>
          <w:ilvl w:val="0"/>
          <w:numId w:val="1"/>
        </w:numPr>
        <w:ind w:left="714" w:hanging="350"/>
        <w:jc w:val="both"/>
        <w:rPr>
          <w:noProof/>
        </w:rPr>
      </w:pPr>
      <w:r w:rsidRPr="00632B94">
        <w:rPr>
          <w:noProof/>
        </w:rPr>
        <w:t>The</w:t>
      </w:r>
      <w:r w:rsidR="00FD62A0" w:rsidRPr="00632B94">
        <w:rPr>
          <w:noProof/>
        </w:rPr>
        <w:t xml:space="preserve">re were </w:t>
      </w:r>
      <w:r w:rsidR="00C377A5" w:rsidRPr="00632B94">
        <w:rPr>
          <w:noProof/>
        </w:rPr>
        <w:t>27</w:t>
      </w:r>
      <w:r w:rsidRPr="00632B94">
        <w:rPr>
          <w:noProof/>
        </w:rPr>
        <w:t xml:space="preserve"> </w:t>
      </w:r>
      <w:r w:rsidR="00553F6F" w:rsidRPr="00632B94">
        <w:rPr>
          <w:noProof/>
        </w:rPr>
        <w:t>p</w:t>
      </w:r>
      <w:r w:rsidRPr="00632B94">
        <w:rPr>
          <w:noProof/>
        </w:rPr>
        <w:t xml:space="preserve">rimary </w:t>
      </w:r>
      <w:r w:rsidR="00553F6F" w:rsidRPr="00632B94">
        <w:rPr>
          <w:noProof/>
        </w:rPr>
        <w:t>h</w:t>
      </w:r>
      <w:r w:rsidRPr="00632B94">
        <w:rPr>
          <w:noProof/>
        </w:rPr>
        <w:t xml:space="preserve">ealth </w:t>
      </w:r>
      <w:r w:rsidR="00553F6F" w:rsidRPr="00632B94">
        <w:rPr>
          <w:noProof/>
        </w:rPr>
        <w:t>c</w:t>
      </w:r>
      <w:r w:rsidRPr="00632B94">
        <w:rPr>
          <w:noProof/>
        </w:rPr>
        <w:t xml:space="preserve">are </w:t>
      </w:r>
      <w:r w:rsidR="00553F6F" w:rsidRPr="00632B94">
        <w:rPr>
          <w:noProof/>
        </w:rPr>
        <w:t xml:space="preserve">centers </w:t>
      </w:r>
      <w:r w:rsidRPr="00632B94">
        <w:rPr>
          <w:noProof/>
        </w:rPr>
        <w:t>in</w:t>
      </w:r>
      <w:r w:rsidR="00C377A5" w:rsidRPr="00632B94">
        <w:rPr>
          <w:noProof/>
        </w:rPr>
        <w:t xml:space="preserve"> Lebanon,</w:t>
      </w:r>
      <w:r w:rsidRPr="00632B94">
        <w:rPr>
          <w:noProof/>
        </w:rPr>
        <w:t xml:space="preserve"> </w:t>
      </w:r>
      <w:r w:rsidR="00FD62A0" w:rsidRPr="00632B94">
        <w:rPr>
          <w:noProof/>
        </w:rPr>
        <w:t>2</w:t>
      </w:r>
      <w:r w:rsidR="001B4B14" w:rsidRPr="00632B94">
        <w:rPr>
          <w:noProof/>
        </w:rPr>
        <w:t>6</w:t>
      </w:r>
      <w:r w:rsidRPr="00632B94">
        <w:rPr>
          <w:noProof/>
        </w:rPr>
        <w:t xml:space="preserve"> </w:t>
      </w:r>
      <w:r w:rsidR="00FD62A0" w:rsidRPr="00632B94">
        <w:rPr>
          <w:noProof/>
        </w:rPr>
        <w:t xml:space="preserve">in </w:t>
      </w:r>
      <w:r w:rsidRPr="00632B94">
        <w:rPr>
          <w:noProof/>
        </w:rPr>
        <w:t xml:space="preserve">Syria, </w:t>
      </w:r>
      <w:r w:rsidR="00553F6F" w:rsidRPr="00632B94">
        <w:rPr>
          <w:noProof/>
        </w:rPr>
        <w:t>and</w:t>
      </w:r>
      <w:r w:rsidR="00FD62A0" w:rsidRPr="00632B94">
        <w:rPr>
          <w:noProof/>
        </w:rPr>
        <w:t xml:space="preserve"> </w:t>
      </w:r>
      <w:r w:rsidR="00C377A5" w:rsidRPr="00632B94">
        <w:rPr>
          <w:noProof/>
        </w:rPr>
        <w:t>2</w:t>
      </w:r>
      <w:r w:rsidR="001B4B14" w:rsidRPr="00632B94">
        <w:rPr>
          <w:noProof/>
        </w:rPr>
        <w:t>5</w:t>
      </w:r>
      <w:r w:rsidR="00FD62A0" w:rsidRPr="00632B94">
        <w:rPr>
          <w:noProof/>
        </w:rPr>
        <w:t xml:space="preserve"> in</w:t>
      </w:r>
      <w:r w:rsidR="00553F6F" w:rsidRPr="00632B94">
        <w:rPr>
          <w:noProof/>
        </w:rPr>
        <w:t xml:space="preserve"> </w:t>
      </w:r>
      <w:r w:rsidR="00A54B80" w:rsidRPr="00632B94">
        <w:rPr>
          <w:noProof/>
        </w:rPr>
        <w:t>Jordan</w:t>
      </w:r>
      <w:r w:rsidRPr="00632B94">
        <w:rPr>
          <w:noProof/>
        </w:rPr>
        <w:t xml:space="preserve"> in</w:t>
      </w:r>
      <w:r w:rsidR="0081681C">
        <w:rPr>
          <w:noProof/>
        </w:rPr>
        <w:t xml:space="preserve"> january</w:t>
      </w:r>
      <w:r w:rsidRPr="00632B94">
        <w:rPr>
          <w:noProof/>
        </w:rPr>
        <w:t xml:space="preserve"> </w:t>
      </w:r>
      <w:r w:rsidR="00583D7A" w:rsidRPr="00632B94">
        <w:rPr>
          <w:noProof/>
        </w:rPr>
        <w:t>201</w:t>
      </w:r>
      <w:r w:rsidR="001B4B14" w:rsidRPr="00632B94">
        <w:rPr>
          <w:noProof/>
        </w:rPr>
        <w:t>7</w:t>
      </w:r>
      <w:r w:rsidRPr="00632B94">
        <w:rPr>
          <w:noProof/>
        </w:rPr>
        <w:t>.</w:t>
      </w:r>
    </w:p>
    <w:p w:rsidR="00C9334E" w:rsidRPr="00632B94" w:rsidRDefault="00C9334E" w:rsidP="00C9334E">
      <w:pPr>
        <w:jc w:val="both"/>
        <w:rPr>
          <w:b/>
          <w:bCs/>
        </w:rPr>
      </w:pPr>
    </w:p>
    <w:p w:rsidR="00B5698C" w:rsidRPr="00632B94" w:rsidRDefault="00C9334E" w:rsidP="00C9334E">
      <w:pPr>
        <w:jc w:val="both"/>
        <w:rPr>
          <w:b/>
          <w:bCs/>
        </w:rPr>
      </w:pPr>
      <w:r w:rsidRPr="00632B94">
        <w:rPr>
          <w:b/>
          <w:bCs/>
        </w:rPr>
        <w:t>Education:</w:t>
      </w:r>
      <w:r w:rsidR="00B5698C" w:rsidRPr="00632B94">
        <w:rPr>
          <w:b/>
          <w:bCs/>
        </w:rPr>
        <w:t xml:space="preserve"> </w:t>
      </w:r>
    </w:p>
    <w:p w:rsidR="00E26649" w:rsidRPr="00632B94" w:rsidRDefault="00E26649" w:rsidP="008072F4">
      <w:pPr>
        <w:numPr>
          <w:ilvl w:val="0"/>
          <w:numId w:val="1"/>
        </w:numPr>
        <w:ind w:left="714" w:hanging="350"/>
        <w:jc w:val="both"/>
        <w:rPr>
          <w:noProof/>
        </w:rPr>
      </w:pPr>
      <w:r w:rsidRPr="00632B94">
        <w:rPr>
          <w:noProof/>
        </w:rPr>
        <w:t xml:space="preserve">The total number of UNRWA schools was </w:t>
      </w:r>
      <w:r w:rsidR="00E22B42" w:rsidRPr="00632B94">
        <w:rPr>
          <w:noProof/>
        </w:rPr>
        <w:t>171</w:t>
      </w:r>
      <w:r w:rsidRPr="00632B94">
        <w:rPr>
          <w:noProof/>
        </w:rPr>
        <w:t xml:space="preserve"> schools in Jordan, </w:t>
      </w:r>
      <w:r w:rsidR="00E22B42" w:rsidRPr="00632B94">
        <w:rPr>
          <w:noProof/>
        </w:rPr>
        <w:t>101</w:t>
      </w:r>
      <w:r w:rsidRPr="00632B94">
        <w:rPr>
          <w:noProof/>
        </w:rPr>
        <w:t xml:space="preserve"> schools in Syria and </w:t>
      </w:r>
      <w:r w:rsidR="000B6F29" w:rsidRPr="00632B94">
        <w:rPr>
          <w:noProof/>
        </w:rPr>
        <w:t>6</w:t>
      </w:r>
      <w:r w:rsidR="00E22B42" w:rsidRPr="00632B94">
        <w:rPr>
          <w:noProof/>
        </w:rPr>
        <w:t>7</w:t>
      </w:r>
      <w:r w:rsidRPr="00632B94">
        <w:rPr>
          <w:noProof/>
        </w:rPr>
        <w:t xml:space="preserve"> schools in Lebanon in </w:t>
      </w:r>
      <w:r w:rsidR="000B6F29" w:rsidRPr="00632B94">
        <w:rPr>
          <w:noProof/>
        </w:rPr>
        <w:t>201</w:t>
      </w:r>
      <w:r w:rsidR="001B4B14" w:rsidRPr="00632B94">
        <w:rPr>
          <w:noProof/>
        </w:rPr>
        <w:t>6</w:t>
      </w:r>
      <w:r w:rsidRPr="00632B94">
        <w:rPr>
          <w:noProof/>
        </w:rPr>
        <w:t>/</w:t>
      </w:r>
      <w:r w:rsidR="000B6F29" w:rsidRPr="00632B94">
        <w:rPr>
          <w:noProof/>
        </w:rPr>
        <w:t>201</w:t>
      </w:r>
      <w:r w:rsidR="001B4B14" w:rsidRPr="00632B94">
        <w:rPr>
          <w:noProof/>
        </w:rPr>
        <w:t>7</w:t>
      </w:r>
      <w:r w:rsidRPr="00632B94">
        <w:rPr>
          <w:noProof/>
        </w:rPr>
        <w:t>.</w:t>
      </w:r>
    </w:p>
    <w:p w:rsidR="00BB6D0F" w:rsidRPr="00632B94" w:rsidRDefault="00BB6D0F" w:rsidP="004E7170">
      <w:pPr>
        <w:jc w:val="lowKashida"/>
        <w:rPr>
          <w:sz w:val="10"/>
          <w:szCs w:val="10"/>
        </w:rPr>
      </w:pPr>
    </w:p>
    <w:p w:rsidR="00B5698C" w:rsidRPr="00632B94" w:rsidRDefault="00B5698C" w:rsidP="008072F4">
      <w:pPr>
        <w:numPr>
          <w:ilvl w:val="0"/>
          <w:numId w:val="1"/>
        </w:numPr>
        <w:ind w:left="714" w:hanging="350"/>
        <w:jc w:val="both"/>
        <w:rPr>
          <w:noProof/>
        </w:rPr>
      </w:pPr>
      <w:r w:rsidRPr="00632B94">
        <w:rPr>
          <w:noProof/>
        </w:rPr>
        <w:t xml:space="preserve">The total number of refugee students in UNRWA </w:t>
      </w:r>
      <w:r w:rsidR="00553F6F" w:rsidRPr="00632B94">
        <w:rPr>
          <w:noProof/>
        </w:rPr>
        <w:t>s</w:t>
      </w:r>
      <w:r w:rsidRPr="00632B94">
        <w:rPr>
          <w:noProof/>
        </w:rPr>
        <w:t xml:space="preserve">chools was </w:t>
      </w:r>
      <w:r w:rsidR="001B4B14" w:rsidRPr="00632B94">
        <w:rPr>
          <w:noProof/>
        </w:rPr>
        <w:t>121</w:t>
      </w:r>
      <w:r w:rsidR="00B21F3A" w:rsidRPr="00632B94">
        <w:rPr>
          <w:noProof/>
        </w:rPr>
        <w:t>,</w:t>
      </w:r>
      <w:r w:rsidR="001B4B14" w:rsidRPr="00632B94">
        <w:rPr>
          <w:noProof/>
        </w:rPr>
        <w:t>368</w:t>
      </w:r>
      <w:r w:rsidRPr="00632B94">
        <w:rPr>
          <w:noProof/>
        </w:rPr>
        <w:t xml:space="preserve"> in Jordan, </w:t>
      </w:r>
      <w:r w:rsidR="001B4B14" w:rsidRPr="00632B94">
        <w:rPr>
          <w:noProof/>
        </w:rPr>
        <w:t>36</w:t>
      </w:r>
      <w:r w:rsidR="00B21F3A" w:rsidRPr="00632B94">
        <w:rPr>
          <w:noProof/>
        </w:rPr>
        <w:t>,</w:t>
      </w:r>
      <w:r w:rsidR="001B4B14" w:rsidRPr="00632B94">
        <w:rPr>
          <w:noProof/>
        </w:rPr>
        <w:t>088</w:t>
      </w:r>
      <w:r w:rsidRPr="00632B94">
        <w:rPr>
          <w:noProof/>
        </w:rPr>
        <w:t xml:space="preserve"> in Lebanon and </w:t>
      </w:r>
      <w:r w:rsidR="001B4B14" w:rsidRPr="00632B94">
        <w:rPr>
          <w:noProof/>
        </w:rPr>
        <w:t>46</w:t>
      </w:r>
      <w:r w:rsidR="00B21F3A" w:rsidRPr="00632B94">
        <w:rPr>
          <w:noProof/>
        </w:rPr>
        <w:t>,</w:t>
      </w:r>
      <w:r w:rsidR="001B4B14" w:rsidRPr="00632B94">
        <w:rPr>
          <w:noProof/>
        </w:rPr>
        <w:t>733</w:t>
      </w:r>
      <w:r w:rsidRPr="00632B94">
        <w:rPr>
          <w:noProof/>
        </w:rPr>
        <w:t xml:space="preserve"> in Syria in </w:t>
      </w:r>
      <w:r w:rsidR="00B21F3A" w:rsidRPr="00632B94">
        <w:rPr>
          <w:noProof/>
        </w:rPr>
        <w:t>201</w:t>
      </w:r>
      <w:r w:rsidR="001B4B14" w:rsidRPr="00632B94">
        <w:rPr>
          <w:noProof/>
        </w:rPr>
        <w:t>6</w:t>
      </w:r>
      <w:r w:rsidR="007C3781" w:rsidRPr="00632B94">
        <w:rPr>
          <w:noProof/>
        </w:rPr>
        <w:t>/</w:t>
      </w:r>
      <w:r w:rsidR="00B21F3A" w:rsidRPr="00632B94">
        <w:rPr>
          <w:noProof/>
        </w:rPr>
        <w:t>201</w:t>
      </w:r>
      <w:r w:rsidR="001B4B14" w:rsidRPr="00632B94">
        <w:rPr>
          <w:noProof/>
        </w:rPr>
        <w:t>7</w:t>
      </w:r>
      <w:r w:rsidRPr="00632B94">
        <w:rPr>
          <w:noProof/>
        </w:rPr>
        <w:t xml:space="preserve">. </w:t>
      </w:r>
    </w:p>
    <w:p w:rsidR="00BB6D0F" w:rsidRPr="00632B94" w:rsidRDefault="00BB6D0F" w:rsidP="004E7170">
      <w:pPr>
        <w:jc w:val="lowKashida"/>
        <w:rPr>
          <w:sz w:val="10"/>
          <w:szCs w:val="10"/>
        </w:rPr>
      </w:pPr>
    </w:p>
    <w:p w:rsidR="00B5698C" w:rsidRDefault="00B5698C" w:rsidP="008072F4">
      <w:pPr>
        <w:numPr>
          <w:ilvl w:val="0"/>
          <w:numId w:val="1"/>
        </w:numPr>
        <w:ind w:left="714" w:hanging="350"/>
        <w:jc w:val="both"/>
        <w:rPr>
          <w:noProof/>
        </w:rPr>
      </w:pPr>
      <w:r w:rsidRPr="00632B94">
        <w:rPr>
          <w:noProof/>
        </w:rPr>
        <w:t xml:space="preserve">The total number of teaching </w:t>
      </w:r>
      <w:r w:rsidR="00F07E78" w:rsidRPr="00632B94">
        <w:rPr>
          <w:noProof/>
        </w:rPr>
        <w:t>s</w:t>
      </w:r>
      <w:r w:rsidRPr="00632B94">
        <w:rPr>
          <w:noProof/>
        </w:rPr>
        <w:t xml:space="preserve">taff in UNRWA schools was </w:t>
      </w:r>
      <w:r w:rsidR="00F00428" w:rsidRPr="00632B94">
        <w:rPr>
          <w:noProof/>
        </w:rPr>
        <w:t>5,</w:t>
      </w:r>
      <w:r w:rsidR="001B4B14" w:rsidRPr="00632B94">
        <w:rPr>
          <w:noProof/>
        </w:rPr>
        <w:t>090</w:t>
      </w:r>
      <w:r w:rsidRPr="00632B94">
        <w:rPr>
          <w:noProof/>
        </w:rPr>
        <w:t xml:space="preserve"> in Jordan, </w:t>
      </w:r>
      <w:r w:rsidR="00F00428" w:rsidRPr="00632B94">
        <w:rPr>
          <w:noProof/>
        </w:rPr>
        <w:t>2,</w:t>
      </w:r>
      <w:r w:rsidR="001B4B14" w:rsidRPr="00632B94">
        <w:rPr>
          <w:noProof/>
        </w:rPr>
        <w:t>193</w:t>
      </w:r>
      <w:r w:rsidR="008072A6" w:rsidRPr="00632B94">
        <w:rPr>
          <w:noProof/>
        </w:rPr>
        <w:t xml:space="preserve"> </w:t>
      </w:r>
      <w:r w:rsidRPr="00632B94">
        <w:rPr>
          <w:noProof/>
        </w:rPr>
        <w:t xml:space="preserve">in Syria and </w:t>
      </w:r>
      <w:r w:rsidR="001B4B14" w:rsidRPr="00632B94">
        <w:rPr>
          <w:noProof/>
        </w:rPr>
        <w:t>2</w:t>
      </w:r>
      <w:r w:rsidR="00F00428" w:rsidRPr="00632B94">
        <w:rPr>
          <w:noProof/>
        </w:rPr>
        <w:t>,</w:t>
      </w:r>
      <w:r w:rsidR="001B4B14" w:rsidRPr="00632B94">
        <w:rPr>
          <w:noProof/>
        </w:rPr>
        <w:t>082</w:t>
      </w:r>
      <w:r w:rsidRPr="00632B94">
        <w:rPr>
          <w:noProof/>
        </w:rPr>
        <w:t xml:space="preserve"> in Lebanon in </w:t>
      </w:r>
      <w:r w:rsidR="00F00428" w:rsidRPr="00632B94">
        <w:rPr>
          <w:noProof/>
        </w:rPr>
        <w:t>201</w:t>
      </w:r>
      <w:r w:rsidR="001B4B14" w:rsidRPr="00632B94">
        <w:rPr>
          <w:noProof/>
        </w:rPr>
        <w:t>6</w:t>
      </w:r>
      <w:r w:rsidR="00507D5D" w:rsidRPr="00632B94">
        <w:rPr>
          <w:noProof/>
        </w:rPr>
        <w:t>/</w:t>
      </w:r>
      <w:r w:rsidR="00F00428" w:rsidRPr="00632B94">
        <w:rPr>
          <w:noProof/>
        </w:rPr>
        <w:t>201</w:t>
      </w:r>
      <w:r w:rsidR="001B4B14" w:rsidRPr="00632B94">
        <w:rPr>
          <w:noProof/>
        </w:rPr>
        <w:t>7</w:t>
      </w:r>
      <w:r w:rsidRPr="00632B94">
        <w:rPr>
          <w:noProof/>
        </w:rPr>
        <w:t xml:space="preserve">. </w:t>
      </w:r>
    </w:p>
    <w:p w:rsidR="005C4CFE" w:rsidRDefault="005C4CFE" w:rsidP="005C4CFE">
      <w:pPr>
        <w:pStyle w:val="ListParagraph"/>
      </w:pPr>
    </w:p>
    <w:p w:rsidR="005C4CFE" w:rsidRPr="005C4CFE" w:rsidRDefault="005C4CFE" w:rsidP="005C4CFE">
      <w:pPr>
        <w:numPr>
          <w:ilvl w:val="0"/>
          <w:numId w:val="1"/>
        </w:numPr>
        <w:ind w:left="714" w:hanging="350"/>
        <w:jc w:val="both"/>
        <w:rPr>
          <w:noProof/>
        </w:rPr>
      </w:pPr>
      <w:r w:rsidRPr="005C4CFE">
        <w:rPr>
          <w:noProof/>
        </w:rPr>
        <w:t>The number of vocational and technical training centers was eight centers distributed in two centers in Jordan, one in Syria and Lebanon, and four in Palestine, which are divided into two centers in the West Bank and two centers in the Gaza Strip</w:t>
      </w:r>
      <w:r>
        <w:rPr>
          <w:noProof/>
        </w:rPr>
        <w:t>.</w:t>
      </w:r>
    </w:p>
    <w:p w:rsidR="005C4CFE" w:rsidRDefault="005C4CFE" w:rsidP="005C4CFE">
      <w:pPr>
        <w:ind w:left="714"/>
        <w:jc w:val="both"/>
        <w:rPr>
          <w:noProof/>
        </w:rPr>
      </w:pPr>
    </w:p>
    <w:p w:rsidR="005C4CFE" w:rsidRDefault="005C4CFE" w:rsidP="005C4CFE">
      <w:pPr>
        <w:jc w:val="both"/>
        <w:rPr>
          <w:b/>
          <w:bCs/>
        </w:rPr>
      </w:pPr>
      <w:r w:rsidRPr="005C4CFE">
        <w:rPr>
          <w:b/>
          <w:bCs/>
        </w:rPr>
        <w:t>Relief and Social Services</w:t>
      </w:r>
      <w:r>
        <w:rPr>
          <w:b/>
          <w:bCs/>
        </w:rPr>
        <w:t>:</w:t>
      </w:r>
    </w:p>
    <w:p w:rsidR="005C4CFE" w:rsidRPr="005C4CFE" w:rsidRDefault="005C4CFE" w:rsidP="005C4CFE">
      <w:pPr>
        <w:numPr>
          <w:ilvl w:val="0"/>
          <w:numId w:val="1"/>
        </w:numPr>
        <w:ind w:left="714" w:hanging="350"/>
        <w:jc w:val="both"/>
        <w:rPr>
          <w:noProof/>
        </w:rPr>
      </w:pPr>
      <w:r w:rsidRPr="005C4CFE">
        <w:rPr>
          <w:noProof/>
        </w:rPr>
        <w:t xml:space="preserve">The number of women's programs centers in Jordan, Lebanon, Syria and Palestine reached 48. The number of social rehabilitation centers reached 33, the number of social development centers reached 12, and the funds managed by the community 43 in January 2017. </w:t>
      </w:r>
    </w:p>
    <w:p w:rsidR="004D74D5" w:rsidRPr="005C4CFE" w:rsidRDefault="004D74D5" w:rsidP="005C4CFE">
      <w:pPr>
        <w:jc w:val="both"/>
        <w:rPr>
          <w:b/>
          <w:bCs/>
        </w:rPr>
      </w:pPr>
    </w:p>
    <w:p w:rsidR="005910AE" w:rsidRPr="00332048" w:rsidRDefault="005910AE" w:rsidP="005779E5">
      <w:pPr>
        <w:pStyle w:val="ListParagraph"/>
        <w:bidi w:val="0"/>
        <w:ind w:left="0"/>
        <w:jc w:val="lowKashida"/>
        <w:rPr>
          <w:rFonts w:cs="Times New Roman"/>
          <w:b/>
          <w:bCs/>
          <w:i/>
          <w:iCs/>
          <w:sz w:val="18"/>
          <w:szCs w:val="18"/>
          <w:u w:val="single"/>
        </w:rPr>
      </w:pPr>
      <w:r w:rsidRPr="00332048">
        <w:rPr>
          <w:rFonts w:cs="Times New Roman"/>
          <w:b/>
          <w:bCs/>
          <w:i/>
          <w:iCs/>
          <w:sz w:val="18"/>
          <w:szCs w:val="18"/>
          <w:u w:val="single"/>
        </w:rPr>
        <w:t>For more detail</w:t>
      </w:r>
      <w:r w:rsidR="00F07E78" w:rsidRPr="00332048">
        <w:rPr>
          <w:rFonts w:cs="Times New Roman"/>
          <w:b/>
          <w:bCs/>
          <w:i/>
          <w:iCs/>
          <w:sz w:val="18"/>
          <w:szCs w:val="18"/>
          <w:u w:val="single"/>
        </w:rPr>
        <w:t xml:space="preserve">s on </w:t>
      </w:r>
      <w:r w:rsidRPr="00332048">
        <w:rPr>
          <w:rFonts w:cs="Times New Roman"/>
          <w:b/>
          <w:bCs/>
          <w:i/>
          <w:iCs/>
          <w:sz w:val="18"/>
          <w:szCs w:val="18"/>
          <w:u w:val="single"/>
        </w:rPr>
        <w:t>Palestinians in the Diaspora</w:t>
      </w:r>
      <w:r w:rsidR="00F07E78" w:rsidRPr="00332048">
        <w:rPr>
          <w:rFonts w:cs="Times New Roman"/>
          <w:b/>
          <w:bCs/>
          <w:i/>
          <w:iCs/>
          <w:sz w:val="18"/>
          <w:szCs w:val="18"/>
          <w:u w:val="single"/>
        </w:rPr>
        <w:t>,</w:t>
      </w:r>
      <w:r w:rsidRPr="00332048">
        <w:rPr>
          <w:rFonts w:cs="Times New Roman"/>
          <w:b/>
          <w:bCs/>
          <w:i/>
          <w:iCs/>
          <w:sz w:val="18"/>
          <w:szCs w:val="18"/>
          <w:u w:val="single"/>
        </w:rPr>
        <w:t xml:space="preserve"> </w:t>
      </w:r>
      <w:r w:rsidR="0037009A" w:rsidRPr="00332048">
        <w:rPr>
          <w:rFonts w:cs="Times New Roman"/>
          <w:b/>
          <w:bCs/>
          <w:i/>
          <w:iCs/>
          <w:sz w:val="18"/>
          <w:szCs w:val="18"/>
          <w:u w:val="single"/>
        </w:rPr>
        <w:t xml:space="preserve">see </w:t>
      </w:r>
      <w:r w:rsidR="00F07E78" w:rsidRPr="00332048">
        <w:rPr>
          <w:rFonts w:cs="Times New Roman"/>
          <w:b/>
          <w:bCs/>
          <w:i/>
          <w:iCs/>
          <w:sz w:val="18"/>
          <w:szCs w:val="18"/>
          <w:u w:val="single"/>
        </w:rPr>
        <w:t xml:space="preserve">the </w:t>
      </w:r>
      <w:r w:rsidR="0037009A" w:rsidRPr="00332048">
        <w:rPr>
          <w:rFonts w:cs="Times New Roman"/>
          <w:b/>
          <w:bCs/>
          <w:i/>
          <w:iCs/>
          <w:sz w:val="18"/>
          <w:szCs w:val="18"/>
          <w:u w:val="single"/>
        </w:rPr>
        <w:t xml:space="preserve">tables </w:t>
      </w:r>
      <w:r w:rsidRPr="00332048">
        <w:rPr>
          <w:rFonts w:cs="Times New Roman"/>
          <w:b/>
          <w:bCs/>
          <w:i/>
          <w:iCs/>
          <w:sz w:val="18"/>
          <w:szCs w:val="18"/>
          <w:u w:val="single"/>
        </w:rPr>
        <w:t xml:space="preserve">in chapter 3 </w:t>
      </w:r>
      <w:r w:rsidR="00F07E78" w:rsidRPr="00332048">
        <w:rPr>
          <w:rFonts w:cs="Times New Roman"/>
          <w:b/>
          <w:bCs/>
          <w:i/>
          <w:iCs/>
          <w:sz w:val="18"/>
          <w:szCs w:val="18"/>
          <w:u w:val="single"/>
        </w:rPr>
        <w:t>of the</w:t>
      </w:r>
      <w:r w:rsidRPr="00332048">
        <w:rPr>
          <w:rFonts w:cs="Times New Roman"/>
          <w:b/>
          <w:bCs/>
          <w:i/>
          <w:iCs/>
          <w:sz w:val="18"/>
          <w:szCs w:val="18"/>
          <w:u w:val="single"/>
        </w:rPr>
        <w:t xml:space="preserve"> </w:t>
      </w:r>
      <w:r w:rsidR="00654A09" w:rsidRPr="00332048">
        <w:rPr>
          <w:rFonts w:cs="Times New Roman"/>
          <w:b/>
          <w:bCs/>
          <w:i/>
          <w:iCs/>
          <w:sz w:val="18"/>
          <w:szCs w:val="18"/>
          <w:u w:val="single"/>
        </w:rPr>
        <w:t>Arabic</w:t>
      </w:r>
      <w:r w:rsidRPr="00332048">
        <w:rPr>
          <w:rFonts w:cs="Times New Roman"/>
          <w:b/>
          <w:bCs/>
          <w:i/>
          <w:iCs/>
          <w:sz w:val="18"/>
          <w:szCs w:val="18"/>
          <w:u w:val="single"/>
        </w:rPr>
        <w:t xml:space="preserve"> </w:t>
      </w:r>
      <w:r w:rsidR="00F07E78" w:rsidRPr="00332048">
        <w:rPr>
          <w:rFonts w:cs="Times New Roman"/>
          <w:b/>
          <w:bCs/>
          <w:i/>
          <w:iCs/>
          <w:sz w:val="18"/>
          <w:szCs w:val="18"/>
          <w:u w:val="single"/>
        </w:rPr>
        <w:t xml:space="preserve">section, </w:t>
      </w:r>
      <w:r w:rsidRPr="00332048">
        <w:rPr>
          <w:rFonts w:cs="Times New Roman"/>
          <w:b/>
          <w:bCs/>
          <w:i/>
          <w:iCs/>
          <w:sz w:val="18"/>
          <w:szCs w:val="18"/>
          <w:u w:val="single"/>
        </w:rPr>
        <w:t>page</w:t>
      </w:r>
      <w:r w:rsidR="00F07E78" w:rsidRPr="00332048">
        <w:rPr>
          <w:rFonts w:cs="Times New Roman"/>
          <w:b/>
          <w:bCs/>
          <w:i/>
          <w:iCs/>
          <w:sz w:val="18"/>
          <w:szCs w:val="18"/>
          <w:u w:val="single"/>
        </w:rPr>
        <w:t>s</w:t>
      </w:r>
      <w:r w:rsidRPr="00332048">
        <w:rPr>
          <w:rFonts w:cs="Times New Roman"/>
          <w:b/>
          <w:bCs/>
          <w:i/>
          <w:iCs/>
          <w:sz w:val="18"/>
          <w:szCs w:val="18"/>
          <w:u w:val="single"/>
          <w:rtl/>
        </w:rPr>
        <w:t xml:space="preserve"> </w:t>
      </w:r>
      <w:r w:rsidR="005779E5" w:rsidRPr="00332048">
        <w:rPr>
          <w:rFonts w:cs="Times New Roman"/>
          <w:b/>
          <w:bCs/>
          <w:i/>
          <w:iCs/>
          <w:sz w:val="18"/>
          <w:szCs w:val="18"/>
          <w:u w:val="single"/>
        </w:rPr>
        <w:t>303</w:t>
      </w:r>
      <w:r w:rsidRPr="00332048">
        <w:rPr>
          <w:rFonts w:cs="Times New Roman"/>
          <w:b/>
          <w:bCs/>
          <w:i/>
          <w:iCs/>
          <w:sz w:val="18"/>
          <w:szCs w:val="18"/>
          <w:u w:val="single"/>
        </w:rPr>
        <w:t>-</w:t>
      </w:r>
      <w:r w:rsidR="0001217D" w:rsidRPr="00332048">
        <w:rPr>
          <w:rFonts w:cs="Times New Roman"/>
          <w:b/>
          <w:bCs/>
          <w:i/>
          <w:iCs/>
          <w:sz w:val="18"/>
          <w:szCs w:val="18"/>
          <w:u w:val="single"/>
        </w:rPr>
        <w:t>3</w:t>
      </w:r>
      <w:r w:rsidR="005779E5" w:rsidRPr="00332048">
        <w:rPr>
          <w:rFonts w:cs="Times New Roman"/>
          <w:b/>
          <w:bCs/>
          <w:i/>
          <w:iCs/>
          <w:sz w:val="18"/>
          <w:szCs w:val="18"/>
          <w:u w:val="single"/>
        </w:rPr>
        <w:t>12</w:t>
      </w:r>
      <w:r w:rsidR="00F07E78" w:rsidRPr="00332048">
        <w:rPr>
          <w:rFonts w:cs="Times New Roman"/>
          <w:b/>
          <w:bCs/>
          <w:i/>
          <w:iCs/>
          <w:sz w:val="18"/>
          <w:szCs w:val="18"/>
          <w:u w:val="single"/>
        </w:rPr>
        <w:t>.</w:t>
      </w:r>
    </w:p>
    <w:p w:rsidR="002173CB" w:rsidRPr="00632B94" w:rsidRDefault="002173CB" w:rsidP="002173CB">
      <w:pPr>
        <w:pStyle w:val="ListParagraph"/>
        <w:bidi w:val="0"/>
        <w:ind w:left="0"/>
        <w:jc w:val="lowKashida"/>
        <w:rPr>
          <w:rFonts w:cs="Times New Roman"/>
          <w:i/>
          <w:iCs/>
          <w:sz w:val="20"/>
          <w:u w:val="single"/>
        </w:rPr>
      </w:pPr>
    </w:p>
    <w:sectPr w:rsidR="002173CB" w:rsidRPr="00632B94" w:rsidSect="00793CB8">
      <w:headerReference w:type="default" r:id="rId25"/>
      <w:footerReference w:type="even" r:id="rId26"/>
      <w:footerReference w:type="default" r:id="rId27"/>
      <w:endnotePr>
        <w:numFmt w:val="lowerLetter"/>
      </w:endnotePr>
      <w:pgSz w:w="9639" w:h="13608" w:code="9"/>
      <w:pgMar w:top="1134" w:right="1134" w:bottom="1134" w:left="1134" w:header="680" w:footer="680" w:gutter="0"/>
      <w:pgNumType w:start="15"/>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0B40" w:rsidRDefault="00C10B40">
      <w:r>
        <w:separator/>
      </w:r>
    </w:p>
  </w:endnote>
  <w:endnote w:type="continuationSeparator" w:id="0">
    <w:p w:rsidR="00C10B40" w:rsidRDefault="00C10B4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0B40" w:rsidRDefault="005356E0">
    <w:pPr>
      <w:pStyle w:val="Footer"/>
      <w:framePr w:wrap="around" w:vAnchor="text" w:hAnchor="margin" w:xAlign="center" w:y="1"/>
      <w:rPr>
        <w:rStyle w:val="PageNumber"/>
      </w:rPr>
    </w:pPr>
    <w:r>
      <w:rPr>
        <w:rStyle w:val="PageNumber"/>
      </w:rPr>
      <w:fldChar w:fldCharType="begin"/>
    </w:r>
    <w:r w:rsidR="00C10B40">
      <w:rPr>
        <w:rStyle w:val="PageNumber"/>
      </w:rPr>
      <w:instrText xml:space="preserve">PAGE  </w:instrText>
    </w:r>
    <w:r>
      <w:rPr>
        <w:rStyle w:val="PageNumber"/>
      </w:rPr>
      <w:fldChar w:fldCharType="end"/>
    </w:r>
  </w:p>
  <w:p w:rsidR="00C10B40" w:rsidRDefault="00C10B4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0B40" w:rsidRDefault="00C10B40">
    <w:pPr>
      <w:pStyle w:val="Footer"/>
      <w:framePr w:w="522" w:wrap="around" w:vAnchor="text" w:hAnchor="margin" w:xAlign="center" w:y="12"/>
      <w:rPr>
        <w:rStyle w:val="PageNumber"/>
      </w:rPr>
    </w:pPr>
    <w:r>
      <w:rPr>
        <w:rStyle w:val="PageNumber"/>
      </w:rPr>
      <w:t>[</w:t>
    </w:r>
    <w:r w:rsidR="005356E0">
      <w:rPr>
        <w:rStyle w:val="PageNumber"/>
        <w:rFonts w:ascii="Arial" w:hAnsi="Arial" w:cs="Arial"/>
        <w:sz w:val="18"/>
        <w:szCs w:val="18"/>
      </w:rPr>
      <w:fldChar w:fldCharType="begin"/>
    </w:r>
    <w:r>
      <w:rPr>
        <w:rStyle w:val="PageNumber"/>
        <w:rFonts w:ascii="Arial" w:hAnsi="Arial" w:cs="Arial"/>
        <w:sz w:val="18"/>
        <w:szCs w:val="18"/>
      </w:rPr>
      <w:instrText xml:space="preserve">PAGE  </w:instrText>
    </w:r>
    <w:r w:rsidR="005356E0">
      <w:rPr>
        <w:rStyle w:val="PageNumber"/>
        <w:rFonts w:ascii="Arial" w:hAnsi="Arial" w:cs="Arial"/>
        <w:sz w:val="18"/>
        <w:szCs w:val="18"/>
      </w:rPr>
      <w:fldChar w:fldCharType="separate"/>
    </w:r>
    <w:r w:rsidR="0099094B">
      <w:rPr>
        <w:rStyle w:val="PageNumber"/>
        <w:rFonts w:ascii="Arial" w:hAnsi="Arial" w:cs="Arial"/>
        <w:noProof/>
        <w:sz w:val="18"/>
        <w:szCs w:val="18"/>
      </w:rPr>
      <w:t>31</w:t>
    </w:r>
    <w:r w:rsidR="005356E0">
      <w:rPr>
        <w:rStyle w:val="PageNumber"/>
        <w:rFonts w:ascii="Arial" w:hAnsi="Arial" w:cs="Arial"/>
        <w:sz w:val="18"/>
        <w:szCs w:val="18"/>
      </w:rPr>
      <w:fldChar w:fldCharType="end"/>
    </w:r>
    <w:r>
      <w:rPr>
        <w:rStyle w:val="PageNumber"/>
      </w:rPr>
      <w:t>]</w:t>
    </w:r>
  </w:p>
  <w:p w:rsidR="00C10B40" w:rsidRDefault="00C10B4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0B40" w:rsidRDefault="00C10B40">
      <w:r>
        <w:separator/>
      </w:r>
    </w:p>
  </w:footnote>
  <w:footnote w:type="continuationSeparator" w:id="0">
    <w:p w:rsidR="00C10B40" w:rsidRDefault="00C10B4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0B40" w:rsidRPr="00940590" w:rsidRDefault="00C10B40" w:rsidP="009F450A">
    <w:pPr>
      <w:pStyle w:val="Footer"/>
      <w:rPr>
        <w:sz w:val="16"/>
        <w:szCs w:val="16"/>
      </w:rPr>
    </w:pPr>
    <w:r>
      <w:rPr>
        <w:sz w:val="16"/>
      </w:rPr>
      <w:t>PCBS: Statistical Yearbook of  Palestine 2018</w:t>
    </w:r>
    <w:r>
      <w:rPr>
        <w:sz w:val="16"/>
        <w:szCs w:val="16"/>
      </w:rPr>
      <w:t xml:space="preserve">                                                                           Summary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A2CD0"/>
    <w:multiLevelType w:val="hybridMultilevel"/>
    <w:tmpl w:val="C12436A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1">
    <w:nsid w:val="02150D35"/>
    <w:multiLevelType w:val="hybridMultilevel"/>
    <w:tmpl w:val="D7A8C99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2">
    <w:nsid w:val="139A27E5"/>
    <w:multiLevelType w:val="hybridMultilevel"/>
    <w:tmpl w:val="79FAD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E932F90"/>
    <w:multiLevelType w:val="hybridMultilevel"/>
    <w:tmpl w:val="BF161F64"/>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1FE4277F"/>
    <w:multiLevelType w:val="hybridMultilevel"/>
    <w:tmpl w:val="CF765A1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
    <w:nsid w:val="25C118CB"/>
    <w:multiLevelType w:val="hybridMultilevel"/>
    <w:tmpl w:val="27BCA5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DD8703C"/>
    <w:multiLevelType w:val="hybridMultilevel"/>
    <w:tmpl w:val="01A8CF0A"/>
    <w:lvl w:ilvl="0" w:tplc="B04250E0">
      <w:start w:val="1"/>
      <w:numFmt w:val="decimal"/>
      <w:lvlText w:val="%1. "/>
      <w:lvlJc w:val="left"/>
      <w:pPr>
        <w:ind w:left="502" w:hanging="360"/>
      </w:pPr>
      <w:rPr>
        <w:rFonts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nsid w:val="31CD45AD"/>
    <w:multiLevelType w:val="hybridMultilevel"/>
    <w:tmpl w:val="6AE43A28"/>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8">
    <w:nsid w:val="3D4B1CDF"/>
    <w:multiLevelType w:val="hybridMultilevel"/>
    <w:tmpl w:val="47DAC31C"/>
    <w:lvl w:ilvl="0" w:tplc="04010001">
      <w:start w:val="1"/>
      <w:numFmt w:val="bullet"/>
      <w:lvlText w:val=""/>
      <w:lvlJc w:val="left"/>
      <w:pPr>
        <w:tabs>
          <w:tab w:val="num" w:pos="360"/>
        </w:tabs>
        <w:ind w:left="360"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9">
    <w:nsid w:val="41EB225C"/>
    <w:multiLevelType w:val="hybridMultilevel"/>
    <w:tmpl w:val="D3AAD7F8"/>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10">
    <w:nsid w:val="4CC84C72"/>
    <w:multiLevelType w:val="hybridMultilevel"/>
    <w:tmpl w:val="F200ACF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1">
    <w:nsid w:val="56F00F86"/>
    <w:multiLevelType w:val="hybridMultilevel"/>
    <w:tmpl w:val="85C8BE56"/>
    <w:lvl w:ilvl="0" w:tplc="0401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872" w:hanging="360"/>
      </w:pPr>
      <w:rPr>
        <w:rFonts w:cs="Times New Roman"/>
      </w:rPr>
    </w:lvl>
    <w:lvl w:ilvl="2" w:tplc="0409001B" w:tentative="1">
      <w:start w:val="1"/>
      <w:numFmt w:val="lowerRoman"/>
      <w:lvlText w:val="%3."/>
      <w:lvlJc w:val="right"/>
      <w:pPr>
        <w:ind w:left="1592" w:hanging="180"/>
      </w:pPr>
      <w:rPr>
        <w:rFonts w:cs="Times New Roman"/>
      </w:rPr>
    </w:lvl>
    <w:lvl w:ilvl="3" w:tplc="0409000F" w:tentative="1">
      <w:start w:val="1"/>
      <w:numFmt w:val="decimal"/>
      <w:lvlText w:val="%4."/>
      <w:lvlJc w:val="left"/>
      <w:pPr>
        <w:ind w:left="2312" w:hanging="360"/>
      </w:pPr>
      <w:rPr>
        <w:rFonts w:cs="Times New Roman"/>
      </w:rPr>
    </w:lvl>
    <w:lvl w:ilvl="4" w:tplc="04090019" w:tentative="1">
      <w:start w:val="1"/>
      <w:numFmt w:val="lowerLetter"/>
      <w:lvlText w:val="%5."/>
      <w:lvlJc w:val="left"/>
      <w:pPr>
        <w:ind w:left="3032" w:hanging="360"/>
      </w:pPr>
      <w:rPr>
        <w:rFonts w:cs="Times New Roman"/>
      </w:rPr>
    </w:lvl>
    <w:lvl w:ilvl="5" w:tplc="0409001B" w:tentative="1">
      <w:start w:val="1"/>
      <w:numFmt w:val="lowerRoman"/>
      <w:lvlText w:val="%6."/>
      <w:lvlJc w:val="right"/>
      <w:pPr>
        <w:ind w:left="3752" w:hanging="180"/>
      </w:pPr>
      <w:rPr>
        <w:rFonts w:cs="Times New Roman"/>
      </w:rPr>
    </w:lvl>
    <w:lvl w:ilvl="6" w:tplc="0409000F" w:tentative="1">
      <w:start w:val="1"/>
      <w:numFmt w:val="decimal"/>
      <w:lvlText w:val="%7."/>
      <w:lvlJc w:val="left"/>
      <w:pPr>
        <w:ind w:left="4472" w:hanging="360"/>
      </w:pPr>
      <w:rPr>
        <w:rFonts w:cs="Times New Roman"/>
      </w:rPr>
    </w:lvl>
    <w:lvl w:ilvl="7" w:tplc="04090019" w:tentative="1">
      <w:start w:val="1"/>
      <w:numFmt w:val="lowerLetter"/>
      <w:lvlText w:val="%8."/>
      <w:lvlJc w:val="left"/>
      <w:pPr>
        <w:ind w:left="5192" w:hanging="360"/>
      </w:pPr>
      <w:rPr>
        <w:rFonts w:cs="Times New Roman"/>
      </w:rPr>
    </w:lvl>
    <w:lvl w:ilvl="8" w:tplc="0409001B" w:tentative="1">
      <w:start w:val="1"/>
      <w:numFmt w:val="lowerRoman"/>
      <w:lvlText w:val="%9."/>
      <w:lvlJc w:val="right"/>
      <w:pPr>
        <w:ind w:left="5912" w:hanging="180"/>
      </w:pPr>
      <w:rPr>
        <w:rFonts w:cs="Times New Roman"/>
      </w:rPr>
    </w:lvl>
  </w:abstractNum>
  <w:abstractNum w:abstractNumId="12">
    <w:nsid w:val="58450C69"/>
    <w:multiLevelType w:val="hybridMultilevel"/>
    <w:tmpl w:val="710EA7C0"/>
    <w:lvl w:ilvl="0" w:tplc="82240B8E">
      <w:start w:val="2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BD84833"/>
    <w:multiLevelType w:val="hybridMultilevel"/>
    <w:tmpl w:val="1D244EF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14">
    <w:nsid w:val="5D473BC0"/>
    <w:multiLevelType w:val="hybridMultilevel"/>
    <w:tmpl w:val="C298EF3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70251485"/>
    <w:multiLevelType w:val="hybridMultilevel"/>
    <w:tmpl w:val="A394FE9A"/>
    <w:lvl w:ilvl="0" w:tplc="BB3EE722">
      <w:numFmt w:val="bullet"/>
      <w:lvlText w:val=""/>
      <w:lvlJc w:val="left"/>
      <w:pPr>
        <w:ind w:left="1288" w:hanging="360"/>
      </w:pPr>
      <w:rPr>
        <w:rFonts w:ascii="Symbol" w:eastAsia="Times New Roman" w:hAnsi="Symbol"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
    <w:nsid w:val="71104B87"/>
    <w:multiLevelType w:val="hybridMultilevel"/>
    <w:tmpl w:val="AB6CC03E"/>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75FC18C3"/>
    <w:multiLevelType w:val="hybridMultilevel"/>
    <w:tmpl w:val="5448A3D0"/>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5"/>
  </w:num>
  <w:num w:numId="2">
    <w:abstractNumId w:val="14"/>
  </w:num>
  <w:num w:numId="3">
    <w:abstractNumId w:val="8"/>
  </w:num>
  <w:num w:numId="4">
    <w:abstractNumId w:val="3"/>
  </w:num>
  <w:num w:numId="5">
    <w:abstractNumId w:val="16"/>
  </w:num>
  <w:num w:numId="6">
    <w:abstractNumId w:val="10"/>
  </w:num>
  <w:num w:numId="7">
    <w:abstractNumId w:val="7"/>
  </w:num>
  <w:num w:numId="8">
    <w:abstractNumId w:val="2"/>
  </w:num>
  <w:num w:numId="9">
    <w:abstractNumId w:val="11"/>
  </w:num>
  <w:num w:numId="10">
    <w:abstractNumId w:val="4"/>
  </w:num>
  <w:num w:numId="11">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num>
  <w:num w:numId="13">
    <w:abstractNumId w:val="12"/>
  </w:num>
  <w:num w:numId="14">
    <w:abstractNumId w:val="0"/>
  </w:num>
  <w:num w:numId="15">
    <w:abstractNumId w:val="9"/>
  </w:num>
  <w:num w:numId="16">
    <w:abstractNumId w:val="1"/>
  </w:num>
  <w:num w:numId="17">
    <w:abstractNumId w:val="13"/>
  </w:num>
  <w:num w:numId="1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hideGrammaticalErrors/>
  <w:proofState w:spelling="clean"/>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numFmt w:val="lowerLetter"/>
    <w:endnote w:id="-1"/>
    <w:endnote w:id="0"/>
  </w:endnotePr>
  <w:compat>
    <w:balanceSingleByteDoubleByteWidth/>
    <w:doNotLeaveBackslashAlone/>
    <w:ulTrailSpace/>
    <w:doNotExpandShiftReturn/>
  </w:compat>
  <w:rsids>
    <w:rsidRoot w:val="001F2744"/>
    <w:rsid w:val="000015AB"/>
    <w:rsid w:val="0000259E"/>
    <w:rsid w:val="00003109"/>
    <w:rsid w:val="0000480C"/>
    <w:rsid w:val="0000488C"/>
    <w:rsid w:val="00005108"/>
    <w:rsid w:val="00005CD1"/>
    <w:rsid w:val="0000650F"/>
    <w:rsid w:val="000106C1"/>
    <w:rsid w:val="00011A35"/>
    <w:rsid w:val="00011D0F"/>
    <w:rsid w:val="00011E19"/>
    <w:rsid w:val="0001217D"/>
    <w:rsid w:val="000128C2"/>
    <w:rsid w:val="0001622B"/>
    <w:rsid w:val="000163BE"/>
    <w:rsid w:val="00017619"/>
    <w:rsid w:val="00017E1B"/>
    <w:rsid w:val="00020126"/>
    <w:rsid w:val="00021930"/>
    <w:rsid w:val="00022054"/>
    <w:rsid w:val="00022560"/>
    <w:rsid w:val="000225D0"/>
    <w:rsid w:val="00022ED2"/>
    <w:rsid w:val="00024622"/>
    <w:rsid w:val="000249A2"/>
    <w:rsid w:val="00026CE1"/>
    <w:rsid w:val="00030D20"/>
    <w:rsid w:val="00031EFF"/>
    <w:rsid w:val="00034854"/>
    <w:rsid w:val="00035DDA"/>
    <w:rsid w:val="00035E4B"/>
    <w:rsid w:val="000370C9"/>
    <w:rsid w:val="000414D0"/>
    <w:rsid w:val="0004150F"/>
    <w:rsid w:val="00042FE0"/>
    <w:rsid w:val="000436BA"/>
    <w:rsid w:val="00043B52"/>
    <w:rsid w:val="00044754"/>
    <w:rsid w:val="000457C7"/>
    <w:rsid w:val="00045A0C"/>
    <w:rsid w:val="00045CF3"/>
    <w:rsid w:val="00047837"/>
    <w:rsid w:val="00047EAC"/>
    <w:rsid w:val="0005015E"/>
    <w:rsid w:val="00050C4D"/>
    <w:rsid w:val="00054038"/>
    <w:rsid w:val="0005542D"/>
    <w:rsid w:val="00056A4C"/>
    <w:rsid w:val="00056EFF"/>
    <w:rsid w:val="00056F1F"/>
    <w:rsid w:val="00057248"/>
    <w:rsid w:val="00061A8B"/>
    <w:rsid w:val="0006485A"/>
    <w:rsid w:val="00064D21"/>
    <w:rsid w:val="00066234"/>
    <w:rsid w:val="000666B9"/>
    <w:rsid w:val="0006733F"/>
    <w:rsid w:val="00067375"/>
    <w:rsid w:val="00070810"/>
    <w:rsid w:val="00071342"/>
    <w:rsid w:val="00071895"/>
    <w:rsid w:val="00071EE2"/>
    <w:rsid w:val="00072214"/>
    <w:rsid w:val="000730FB"/>
    <w:rsid w:val="0007478A"/>
    <w:rsid w:val="00075F09"/>
    <w:rsid w:val="00081EDB"/>
    <w:rsid w:val="00082D3C"/>
    <w:rsid w:val="00082E45"/>
    <w:rsid w:val="00083337"/>
    <w:rsid w:val="00084AEE"/>
    <w:rsid w:val="00085277"/>
    <w:rsid w:val="00085573"/>
    <w:rsid w:val="000863F4"/>
    <w:rsid w:val="00086E73"/>
    <w:rsid w:val="000902D0"/>
    <w:rsid w:val="0009119F"/>
    <w:rsid w:val="00091DCE"/>
    <w:rsid w:val="00091ED2"/>
    <w:rsid w:val="00091FE1"/>
    <w:rsid w:val="00093168"/>
    <w:rsid w:val="00093CDA"/>
    <w:rsid w:val="00093F82"/>
    <w:rsid w:val="00094867"/>
    <w:rsid w:val="00094FD3"/>
    <w:rsid w:val="00095B20"/>
    <w:rsid w:val="0009637A"/>
    <w:rsid w:val="00097847"/>
    <w:rsid w:val="000A09DD"/>
    <w:rsid w:val="000A0A5F"/>
    <w:rsid w:val="000A2826"/>
    <w:rsid w:val="000A426B"/>
    <w:rsid w:val="000A4DED"/>
    <w:rsid w:val="000A54C4"/>
    <w:rsid w:val="000A66E8"/>
    <w:rsid w:val="000A6F09"/>
    <w:rsid w:val="000A7477"/>
    <w:rsid w:val="000B0445"/>
    <w:rsid w:val="000B1056"/>
    <w:rsid w:val="000B1364"/>
    <w:rsid w:val="000B29D8"/>
    <w:rsid w:val="000B3D9A"/>
    <w:rsid w:val="000B464B"/>
    <w:rsid w:val="000B5D0A"/>
    <w:rsid w:val="000B61E4"/>
    <w:rsid w:val="000B6AA1"/>
    <w:rsid w:val="000B6F29"/>
    <w:rsid w:val="000C06B4"/>
    <w:rsid w:val="000C0E16"/>
    <w:rsid w:val="000C1652"/>
    <w:rsid w:val="000C3777"/>
    <w:rsid w:val="000C45BC"/>
    <w:rsid w:val="000C5F39"/>
    <w:rsid w:val="000C5F6C"/>
    <w:rsid w:val="000C603D"/>
    <w:rsid w:val="000C6C18"/>
    <w:rsid w:val="000C724A"/>
    <w:rsid w:val="000C7D52"/>
    <w:rsid w:val="000D061C"/>
    <w:rsid w:val="000D0910"/>
    <w:rsid w:val="000D127C"/>
    <w:rsid w:val="000D1B92"/>
    <w:rsid w:val="000D1F8B"/>
    <w:rsid w:val="000D23AB"/>
    <w:rsid w:val="000D29C8"/>
    <w:rsid w:val="000D67F7"/>
    <w:rsid w:val="000D6E1F"/>
    <w:rsid w:val="000E02DB"/>
    <w:rsid w:val="000E02F0"/>
    <w:rsid w:val="000E0593"/>
    <w:rsid w:val="000E4CAC"/>
    <w:rsid w:val="000E54C9"/>
    <w:rsid w:val="000E5EC7"/>
    <w:rsid w:val="000E66DE"/>
    <w:rsid w:val="000E674F"/>
    <w:rsid w:val="000F0472"/>
    <w:rsid w:val="000F24DF"/>
    <w:rsid w:val="000F27D6"/>
    <w:rsid w:val="000F44F5"/>
    <w:rsid w:val="000F596E"/>
    <w:rsid w:val="000F7498"/>
    <w:rsid w:val="00100B2A"/>
    <w:rsid w:val="00100B38"/>
    <w:rsid w:val="00100DEE"/>
    <w:rsid w:val="0010124B"/>
    <w:rsid w:val="0010154C"/>
    <w:rsid w:val="00101937"/>
    <w:rsid w:val="0010297B"/>
    <w:rsid w:val="00103712"/>
    <w:rsid w:val="0010450F"/>
    <w:rsid w:val="001047EC"/>
    <w:rsid w:val="0010658D"/>
    <w:rsid w:val="00106734"/>
    <w:rsid w:val="001113F3"/>
    <w:rsid w:val="001115AF"/>
    <w:rsid w:val="00112829"/>
    <w:rsid w:val="00113038"/>
    <w:rsid w:val="0011378B"/>
    <w:rsid w:val="0011493F"/>
    <w:rsid w:val="00116F90"/>
    <w:rsid w:val="00120A84"/>
    <w:rsid w:val="00121893"/>
    <w:rsid w:val="00122AF9"/>
    <w:rsid w:val="00123CC8"/>
    <w:rsid w:val="00123D59"/>
    <w:rsid w:val="00124A92"/>
    <w:rsid w:val="00124D0C"/>
    <w:rsid w:val="001255E0"/>
    <w:rsid w:val="00131DBB"/>
    <w:rsid w:val="001323E7"/>
    <w:rsid w:val="0013290F"/>
    <w:rsid w:val="0013461D"/>
    <w:rsid w:val="001355E8"/>
    <w:rsid w:val="00136C35"/>
    <w:rsid w:val="00136C7B"/>
    <w:rsid w:val="00136CB3"/>
    <w:rsid w:val="00136F22"/>
    <w:rsid w:val="001378A2"/>
    <w:rsid w:val="00137C97"/>
    <w:rsid w:val="001402CB"/>
    <w:rsid w:val="00140A7B"/>
    <w:rsid w:val="00143B11"/>
    <w:rsid w:val="00143DDC"/>
    <w:rsid w:val="00143E37"/>
    <w:rsid w:val="00144BA5"/>
    <w:rsid w:val="00145D3D"/>
    <w:rsid w:val="00145F25"/>
    <w:rsid w:val="0014747E"/>
    <w:rsid w:val="00147B13"/>
    <w:rsid w:val="00151479"/>
    <w:rsid w:val="00151705"/>
    <w:rsid w:val="00151781"/>
    <w:rsid w:val="0015181E"/>
    <w:rsid w:val="0015269E"/>
    <w:rsid w:val="00152AE1"/>
    <w:rsid w:val="00152C4D"/>
    <w:rsid w:val="001533EC"/>
    <w:rsid w:val="001536CF"/>
    <w:rsid w:val="0015396D"/>
    <w:rsid w:val="001547A7"/>
    <w:rsid w:val="00155A01"/>
    <w:rsid w:val="001562EF"/>
    <w:rsid w:val="001575DF"/>
    <w:rsid w:val="001575EE"/>
    <w:rsid w:val="00160F78"/>
    <w:rsid w:val="00161B29"/>
    <w:rsid w:val="0016525E"/>
    <w:rsid w:val="00165F15"/>
    <w:rsid w:val="0017012B"/>
    <w:rsid w:val="00170FC8"/>
    <w:rsid w:val="001710EF"/>
    <w:rsid w:val="00174786"/>
    <w:rsid w:val="0017498C"/>
    <w:rsid w:val="001800DC"/>
    <w:rsid w:val="001804B8"/>
    <w:rsid w:val="001809D2"/>
    <w:rsid w:val="001820BE"/>
    <w:rsid w:val="001837A1"/>
    <w:rsid w:val="00183E72"/>
    <w:rsid w:val="00192C14"/>
    <w:rsid w:val="001933C6"/>
    <w:rsid w:val="00195ED8"/>
    <w:rsid w:val="00196D6C"/>
    <w:rsid w:val="0019762D"/>
    <w:rsid w:val="001A090C"/>
    <w:rsid w:val="001A1002"/>
    <w:rsid w:val="001A2CD9"/>
    <w:rsid w:val="001A36C7"/>
    <w:rsid w:val="001A3CD5"/>
    <w:rsid w:val="001A762F"/>
    <w:rsid w:val="001A7CA1"/>
    <w:rsid w:val="001B1777"/>
    <w:rsid w:val="001B27A0"/>
    <w:rsid w:val="001B468E"/>
    <w:rsid w:val="001B4B14"/>
    <w:rsid w:val="001B5ADF"/>
    <w:rsid w:val="001B5B74"/>
    <w:rsid w:val="001B5EAF"/>
    <w:rsid w:val="001B6A74"/>
    <w:rsid w:val="001B7799"/>
    <w:rsid w:val="001B7E25"/>
    <w:rsid w:val="001C1E25"/>
    <w:rsid w:val="001C2022"/>
    <w:rsid w:val="001C3158"/>
    <w:rsid w:val="001C3666"/>
    <w:rsid w:val="001C677E"/>
    <w:rsid w:val="001C6EBE"/>
    <w:rsid w:val="001C70A9"/>
    <w:rsid w:val="001C78D5"/>
    <w:rsid w:val="001C7E56"/>
    <w:rsid w:val="001D002C"/>
    <w:rsid w:val="001D0687"/>
    <w:rsid w:val="001D1072"/>
    <w:rsid w:val="001D2B22"/>
    <w:rsid w:val="001D2BFA"/>
    <w:rsid w:val="001D3101"/>
    <w:rsid w:val="001D322D"/>
    <w:rsid w:val="001D39E7"/>
    <w:rsid w:val="001D3D2C"/>
    <w:rsid w:val="001D3F93"/>
    <w:rsid w:val="001D4AEF"/>
    <w:rsid w:val="001D7B23"/>
    <w:rsid w:val="001E01DF"/>
    <w:rsid w:val="001E0D59"/>
    <w:rsid w:val="001E12D6"/>
    <w:rsid w:val="001E1456"/>
    <w:rsid w:val="001E1647"/>
    <w:rsid w:val="001E28F6"/>
    <w:rsid w:val="001E2B42"/>
    <w:rsid w:val="001E5144"/>
    <w:rsid w:val="001E51C5"/>
    <w:rsid w:val="001E670E"/>
    <w:rsid w:val="001E75CD"/>
    <w:rsid w:val="001E7870"/>
    <w:rsid w:val="001F11DC"/>
    <w:rsid w:val="001F121C"/>
    <w:rsid w:val="001F2744"/>
    <w:rsid w:val="001F3A54"/>
    <w:rsid w:val="001F3DCB"/>
    <w:rsid w:val="001F4E37"/>
    <w:rsid w:val="001F57C6"/>
    <w:rsid w:val="001F691C"/>
    <w:rsid w:val="001F74C6"/>
    <w:rsid w:val="002006D5"/>
    <w:rsid w:val="00200D42"/>
    <w:rsid w:val="00202785"/>
    <w:rsid w:val="00204A61"/>
    <w:rsid w:val="0020619D"/>
    <w:rsid w:val="002076DF"/>
    <w:rsid w:val="00207DA3"/>
    <w:rsid w:val="0021079C"/>
    <w:rsid w:val="00210CA8"/>
    <w:rsid w:val="002110DB"/>
    <w:rsid w:val="002115DE"/>
    <w:rsid w:val="00211DE3"/>
    <w:rsid w:val="00213390"/>
    <w:rsid w:val="0021410D"/>
    <w:rsid w:val="00214B2D"/>
    <w:rsid w:val="002154FF"/>
    <w:rsid w:val="0021610B"/>
    <w:rsid w:val="0021699B"/>
    <w:rsid w:val="00216A81"/>
    <w:rsid w:val="00216CB6"/>
    <w:rsid w:val="00216D7D"/>
    <w:rsid w:val="002173CB"/>
    <w:rsid w:val="0021776D"/>
    <w:rsid w:val="00217ABF"/>
    <w:rsid w:val="00220330"/>
    <w:rsid w:val="00220A86"/>
    <w:rsid w:val="00221A60"/>
    <w:rsid w:val="00221CF1"/>
    <w:rsid w:val="00221ED8"/>
    <w:rsid w:val="002223CF"/>
    <w:rsid w:val="0022246A"/>
    <w:rsid w:val="00222F55"/>
    <w:rsid w:val="00223297"/>
    <w:rsid w:val="00223B48"/>
    <w:rsid w:val="0022405C"/>
    <w:rsid w:val="00224C27"/>
    <w:rsid w:val="00225AC5"/>
    <w:rsid w:val="0022731B"/>
    <w:rsid w:val="002274E5"/>
    <w:rsid w:val="00230436"/>
    <w:rsid w:val="00232714"/>
    <w:rsid w:val="0023386F"/>
    <w:rsid w:val="0023449A"/>
    <w:rsid w:val="00234C75"/>
    <w:rsid w:val="00235572"/>
    <w:rsid w:val="0023575F"/>
    <w:rsid w:val="0024036D"/>
    <w:rsid w:val="00240BFF"/>
    <w:rsid w:val="00240D0A"/>
    <w:rsid w:val="0024106F"/>
    <w:rsid w:val="0024191B"/>
    <w:rsid w:val="00241BFB"/>
    <w:rsid w:val="00242595"/>
    <w:rsid w:val="00242C57"/>
    <w:rsid w:val="00243C41"/>
    <w:rsid w:val="00243D35"/>
    <w:rsid w:val="00244AEA"/>
    <w:rsid w:val="00244D09"/>
    <w:rsid w:val="0024588D"/>
    <w:rsid w:val="0024656E"/>
    <w:rsid w:val="00247253"/>
    <w:rsid w:val="002475BA"/>
    <w:rsid w:val="00247A14"/>
    <w:rsid w:val="00250031"/>
    <w:rsid w:val="002514FB"/>
    <w:rsid w:val="00254951"/>
    <w:rsid w:val="00254BAB"/>
    <w:rsid w:val="00255407"/>
    <w:rsid w:val="00255560"/>
    <w:rsid w:val="00255750"/>
    <w:rsid w:val="002575BC"/>
    <w:rsid w:val="00257A40"/>
    <w:rsid w:val="002626AB"/>
    <w:rsid w:val="002632FA"/>
    <w:rsid w:val="00263455"/>
    <w:rsid w:val="00266287"/>
    <w:rsid w:val="00266749"/>
    <w:rsid w:val="002667DE"/>
    <w:rsid w:val="002669C3"/>
    <w:rsid w:val="002678CA"/>
    <w:rsid w:val="00267A35"/>
    <w:rsid w:val="00270BFD"/>
    <w:rsid w:val="0027211E"/>
    <w:rsid w:val="00275B40"/>
    <w:rsid w:val="00275CE5"/>
    <w:rsid w:val="002767CE"/>
    <w:rsid w:val="00276CD5"/>
    <w:rsid w:val="00277240"/>
    <w:rsid w:val="00280560"/>
    <w:rsid w:val="002806F7"/>
    <w:rsid w:val="00281833"/>
    <w:rsid w:val="00283DE2"/>
    <w:rsid w:val="00284752"/>
    <w:rsid w:val="00284E7A"/>
    <w:rsid w:val="00286F02"/>
    <w:rsid w:val="0029075F"/>
    <w:rsid w:val="00291BD0"/>
    <w:rsid w:val="00292787"/>
    <w:rsid w:val="00293037"/>
    <w:rsid w:val="00293AAC"/>
    <w:rsid w:val="00294CFB"/>
    <w:rsid w:val="00296098"/>
    <w:rsid w:val="002970BC"/>
    <w:rsid w:val="002977AC"/>
    <w:rsid w:val="00297DAB"/>
    <w:rsid w:val="002A056E"/>
    <w:rsid w:val="002A1227"/>
    <w:rsid w:val="002A153E"/>
    <w:rsid w:val="002A1602"/>
    <w:rsid w:val="002B0279"/>
    <w:rsid w:val="002B0B60"/>
    <w:rsid w:val="002B21CD"/>
    <w:rsid w:val="002B2E9C"/>
    <w:rsid w:val="002B408A"/>
    <w:rsid w:val="002B4358"/>
    <w:rsid w:val="002B59C8"/>
    <w:rsid w:val="002B5BBC"/>
    <w:rsid w:val="002B6D87"/>
    <w:rsid w:val="002B6D9E"/>
    <w:rsid w:val="002B6F8E"/>
    <w:rsid w:val="002B6FBB"/>
    <w:rsid w:val="002B7837"/>
    <w:rsid w:val="002B7994"/>
    <w:rsid w:val="002C0B20"/>
    <w:rsid w:val="002C0C27"/>
    <w:rsid w:val="002C1706"/>
    <w:rsid w:val="002C181A"/>
    <w:rsid w:val="002C1DC7"/>
    <w:rsid w:val="002C203F"/>
    <w:rsid w:val="002C239F"/>
    <w:rsid w:val="002C3479"/>
    <w:rsid w:val="002C3589"/>
    <w:rsid w:val="002C3725"/>
    <w:rsid w:val="002C4BB1"/>
    <w:rsid w:val="002C5122"/>
    <w:rsid w:val="002C6B04"/>
    <w:rsid w:val="002D0291"/>
    <w:rsid w:val="002D2740"/>
    <w:rsid w:val="002D3119"/>
    <w:rsid w:val="002D4A3D"/>
    <w:rsid w:val="002D4B94"/>
    <w:rsid w:val="002D5736"/>
    <w:rsid w:val="002D7132"/>
    <w:rsid w:val="002E0DFC"/>
    <w:rsid w:val="002E1695"/>
    <w:rsid w:val="002E416B"/>
    <w:rsid w:val="002E429B"/>
    <w:rsid w:val="002E464F"/>
    <w:rsid w:val="002E55CA"/>
    <w:rsid w:val="002E5A85"/>
    <w:rsid w:val="002E6102"/>
    <w:rsid w:val="002E61DA"/>
    <w:rsid w:val="002E61F0"/>
    <w:rsid w:val="002E767E"/>
    <w:rsid w:val="002E77CD"/>
    <w:rsid w:val="002F0183"/>
    <w:rsid w:val="002F05C0"/>
    <w:rsid w:val="002F09D0"/>
    <w:rsid w:val="002F2337"/>
    <w:rsid w:val="002F3F43"/>
    <w:rsid w:val="002F534C"/>
    <w:rsid w:val="002F6423"/>
    <w:rsid w:val="003019B4"/>
    <w:rsid w:val="0030277E"/>
    <w:rsid w:val="00302C09"/>
    <w:rsid w:val="00304BD0"/>
    <w:rsid w:val="003065D4"/>
    <w:rsid w:val="003066A7"/>
    <w:rsid w:val="00307709"/>
    <w:rsid w:val="00310097"/>
    <w:rsid w:val="00310246"/>
    <w:rsid w:val="00310703"/>
    <w:rsid w:val="00310AD8"/>
    <w:rsid w:val="003115C9"/>
    <w:rsid w:val="00313EC0"/>
    <w:rsid w:val="003140B4"/>
    <w:rsid w:val="003145A4"/>
    <w:rsid w:val="00315739"/>
    <w:rsid w:val="003159CE"/>
    <w:rsid w:val="00316F33"/>
    <w:rsid w:val="003202DB"/>
    <w:rsid w:val="003203D2"/>
    <w:rsid w:val="00320722"/>
    <w:rsid w:val="00322374"/>
    <w:rsid w:val="0032238A"/>
    <w:rsid w:val="00322601"/>
    <w:rsid w:val="003233AA"/>
    <w:rsid w:val="003234F3"/>
    <w:rsid w:val="003235DA"/>
    <w:rsid w:val="00323648"/>
    <w:rsid w:val="00323A9A"/>
    <w:rsid w:val="00324085"/>
    <w:rsid w:val="003265C1"/>
    <w:rsid w:val="00327ACB"/>
    <w:rsid w:val="003307CD"/>
    <w:rsid w:val="00331B49"/>
    <w:rsid w:val="00332048"/>
    <w:rsid w:val="00332980"/>
    <w:rsid w:val="00335779"/>
    <w:rsid w:val="003362D3"/>
    <w:rsid w:val="0033655E"/>
    <w:rsid w:val="00337476"/>
    <w:rsid w:val="00337EA8"/>
    <w:rsid w:val="00340044"/>
    <w:rsid w:val="0034011E"/>
    <w:rsid w:val="0034017C"/>
    <w:rsid w:val="00345ADA"/>
    <w:rsid w:val="003475DB"/>
    <w:rsid w:val="0035336D"/>
    <w:rsid w:val="00354BB4"/>
    <w:rsid w:val="00354F1F"/>
    <w:rsid w:val="0035714C"/>
    <w:rsid w:val="0035783F"/>
    <w:rsid w:val="00357C35"/>
    <w:rsid w:val="00360305"/>
    <w:rsid w:val="00362707"/>
    <w:rsid w:val="00362F13"/>
    <w:rsid w:val="003632E1"/>
    <w:rsid w:val="003636DC"/>
    <w:rsid w:val="00363918"/>
    <w:rsid w:val="00363A27"/>
    <w:rsid w:val="003640B2"/>
    <w:rsid w:val="00365FAA"/>
    <w:rsid w:val="003667BF"/>
    <w:rsid w:val="0037009A"/>
    <w:rsid w:val="003706DE"/>
    <w:rsid w:val="00371581"/>
    <w:rsid w:val="003715A5"/>
    <w:rsid w:val="0037184A"/>
    <w:rsid w:val="00373902"/>
    <w:rsid w:val="00373FAB"/>
    <w:rsid w:val="00374E23"/>
    <w:rsid w:val="00375AB4"/>
    <w:rsid w:val="00375BB8"/>
    <w:rsid w:val="003764AD"/>
    <w:rsid w:val="003775B1"/>
    <w:rsid w:val="0037768C"/>
    <w:rsid w:val="00380F9D"/>
    <w:rsid w:val="00381FD6"/>
    <w:rsid w:val="00382641"/>
    <w:rsid w:val="00382A28"/>
    <w:rsid w:val="00383330"/>
    <w:rsid w:val="003834A2"/>
    <w:rsid w:val="00383923"/>
    <w:rsid w:val="00383AFC"/>
    <w:rsid w:val="003851F1"/>
    <w:rsid w:val="0038645D"/>
    <w:rsid w:val="00386641"/>
    <w:rsid w:val="00392B31"/>
    <w:rsid w:val="00392B88"/>
    <w:rsid w:val="00392CBC"/>
    <w:rsid w:val="003936AC"/>
    <w:rsid w:val="0039372B"/>
    <w:rsid w:val="003940C7"/>
    <w:rsid w:val="00395E0B"/>
    <w:rsid w:val="00396BC1"/>
    <w:rsid w:val="00397ECB"/>
    <w:rsid w:val="003A0054"/>
    <w:rsid w:val="003A0CEF"/>
    <w:rsid w:val="003A186C"/>
    <w:rsid w:val="003A24FC"/>
    <w:rsid w:val="003A2BC6"/>
    <w:rsid w:val="003A335B"/>
    <w:rsid w:val="003A3451"/>
    <w:rsid w:val="003A37AA"/>
    <w:rsid w:val="003A3E4C"/>
    <w:rsid w:val="003A4C52"/>
    <w:rsid w:val="003A59C1"/>
    <w:rsid w:val="003A5BFA"/>
    <w:rsid w:val="003A7749"/>
    <w:rsid w:val="003B05A9"/>
    <w:rsid w:val="003B0688"/>
    <w:rsid w:val="003B0918"/>
    <w:rsid w:val="003B2866"/>
    <w:rsid w:val="003B32EA"/>
    <w:rsid w:val="003B446A"/>
    <w:rsid w:val="003B59B1"/>
    <w:rsid w:val="003B61E4"/>
    <w:rsid w:val="003B7076"/>
    <w:rsid w:val="003C0114"/>
    <w:rsid w:val="003C0168"/>
    <w:rsid w:val="003C1A4E"/>
    <w:rsid w:val="003C27F3"/>
    <w:rsid w:val="003C2A27"/>
    <w:rsid w:val="003C35FF"/>
    <w:rsid w:val="003C4FF7"/>
    <w:rsid w:val="003C5BE2"/>
    <w:rsid w:val="003C6808"/>
    <w:rsid w:val="003C6E13"/>
    <w:rsid w:val="003C6F02"/>
    <w:rsid w:val="003D120E"/>
    <w:rsid w:val="003D5424"/>
    <w:rsid w:val="003D6A54"/>
    <w:rsid w:val="003D7780"/>
    <w:rsid w:val="003D79DE"/>
    <w:rsid w:val="003E06A1"/>
    <w:rsid w:val="003E0C48"/>
    <w:rsid w:val="003E4CA5"/>
    <w:rsid w:val="003E50BD"/>
    <w:rsid w:val="003E58F6"/>
    <w:rsid w:val="003E6F05"/>
    <w:rsid w:val="003E7079"/>
    <w:rsid w:val="003E7751"/>
    <w:rsid w:val="003E7B2E"/>
    <w:rsid w:val="003F0986"/>
    <w:rsid w:val="003F278D"/>
    <w:rsid w:val="003F2855"/>
    <w:rsid w:val="003F2B8D"/>
    <w:rsid w:val="003F41CF"/>
    <w:rsid w:val="003F5771"/>
    <w:rsid w:val="003F6F59"/>
    <w:rsid w:val="004000BB"/>
    <w:rsid w:val="004001BC"/>
    <w:rsid w:val="00401B52"/>
    <w:rsid w:val="00402E9F"/>
    <w:rsid w:val="00402F39"/>
    <w:rsid w:val="004032A8"/>
    <w:rsid w:val="0040351E"/>
    <w:rsid w:val="004038F2"/>
    <w:rsid w:val="004046B2"/>
    <w:rsid w:val="00404CEC"/>
    <w:rsid w:val="00405A6A"/>
    <w:rsid w:val="00405C3C"/>
    <w:rsid w:val="0041233E"/>
    <w:rsid w:val="004130C3"/>
    <w:rsid w:val="004144D6"/>
    <w:rsid w:val="004200AD"/>
    <w:rsid w:val="004219AF"/>
    <w:rsid w:val="004224DA"/>
    <w:rsid w:val="00423529"/>
    <w:rsid w:val="004243CF"/>
    <w:rsid w:val="00424569"/>
    <w:rsid w:val="0042796D"/>
    <w:rsid w:val="00427B05"/>
    <w:rsid w:val="004304CD"/>
    <w:rsid w:val="00431046"/>
    <w:rsid w:val="00431269"/>
    <w:rsid w:val="004320A6"/>
    <w:rsid w:val="00433353"/>
    <w:rsid w:val="0043358A"/>
    <w:rsid w:val="004339B5"/>
    <w:rsid w:val="0043477E"/>
    <w:rsid w:val="00435E73"/>
    <w:rsid w:val="004360BF"/>
    <w:rsid w:val="00437604"/>
    <w:rsid w:val="004402D8"/>
    <w:rsid w:val="00440D1E"/>
    <w:rsid w:val="0044309F"/>
    <w:rsid w:val="004433F1"/>
    <w:rsid w:val="0044376A"/>
    <w:rsid w:val="00443F3F"/>
    <w:rsid w:val="00444CAC"/>
    <w:rsid w:val="0044506A"/>
    <w:rsid w:val="004466EC"/>
    <w:rsid w:val="004519D4"/>
    <w:rsid w:val="00451E35"/>
    <w:rsid w:val="00451F6B"/>
    <w:rsid w:val="004531E5"/>
    <w:rsid w:val="00453D69"/>
    <w:rsid w:val="004540C3"/>
    <w:rsid w:val="00454622"/>
    <w:rsid w:val="00454844"/>
    <w:rsid w:val="0045625E"/>
    <w:rsid w:val="00456F8D"/>
    <w:rsid w:val="0045773F"/>
    <w:rsid w:val="0046185E"/>
    <w:rsid w:val="00461937"/>
    <w:rsid w:val="00461A2E"/>
    <w:rsid w:val="00461F53"/>
    <w:rsid w:val="00462839"/>
    <w:rsid w:val="0046361B"/>
    <w:rsid w:val="004642B0"/>
    <w:rsid w:val="004654EC"/>
    <w:rsid w:val="00465928"/>
    <w:rsid w:val="00465E4F"/>
    <w:rsid w:val="0046752A"/>
    <w:rsid w:val="00471101"/>
    <w:rsid w:val="0047128E"/>
    <w:rsid w:val="0047205F"/>
    <w:rsid w:val="004724D5"/>
    <w:rsid w:val="00473F2D"/>
    <w:rsid w:val="004756FF"/>
    <w:rsid w:val="00476FBF"/>
    <w:rsid w:val="00481636"/>
    <w:rsid w:val="00481E9C"/>
    <w:rsid w:val="00485D10"/>
    <w:rsid w:val="00486336"/>
    <w:rsid w:val="00486345"/>
    <w:rsid w:val="00490556"/>
    <w:rsid w:val="00490E63"/>
    <w:rsid w:val="004911B5"/>
    <w:rsid w:val="00491633"/>
    <w:rsid w:val="00492F7A"/>
    <w:rsid w:val="004931BB"/>
    <w:rsid w:val="00493418"/>
    <w:rsid w:val="00493CAB"/>
    <w:rsid w:val="004945D8"/>
    <w:rsid w:val="00494BA7"/>
    <w:rsid w:val="004959C4"/>
    <w:rsid w:val="00495C6D"/>
    <w:rsid w:val="00496346"/>
    <w:rsid w:val="0049664F"/>
    <w:rsid w:val="00497C9A"/>
    <w:rsid w:val="004A0CDC"/>
    <w:rsid w:val="004A0DFF"/>
    <w:rsid w:val="004A1DA4"/>
    <w:rsid w:val="004A2C49"/>
    <w:rsid w:val="004A4C84"/>
    <w:rsid w:val="004A4EF6"/>
    <w:rsid w:val="004A530C"/>
    <w:rsid w:val="004A63C4"/>
    <w:rsid w:val="004A7881"/>
    <w:rsid w:val="004B0720"/>
    <w:rsid w:val="004B0842"/>
    <w:rsid w:val="004B0F81"/>
    <w:rsid w:val="004B10B0"/>
    <w:rsid w:val="004B147B"/>
    <w:rsid w:val="004B15B8"/>
    <w:rsid w:val="004B1965"/>
    <w:rsid w:val="004B3DF8"/>
    <w:rsid w:val="004B480C"/>
    <w:rsid w:val="004B6380"/>
    <w:rsid w:val="004B7662"/>
    <w:rsid w:val="004C1638"/>
    <w:rsid w:val="004C1713"/>
    <w:rsid w:val="004C1761"/>
    <w:rsid w:val="004C1793"/>
    <w:rsid w:val="004C1FDF"/>
    <w:rsid w:val="004C22FD"/>
    <w:rsid w:val="004C28E6"/>
    <w:rsid w:val="004C3FF3"/>
    <w:rsid w:val="004C43C7"/>
    <w:rsid w:val="004C5FD1"/>
    <w:rsid w:val="004C6BDD"/>
    <w:rsid w:val="004C75AA"/>
    <w:rsid w:val="004C7D92"/>
    <w:rsid w:val="004C7EF6"/>
    <w:rsid w:val="004D35F9"/>
    <w:rsid w:val="004D3747"/>
    <w:rsid w:val="004D4069"/>
    <w:rsid w:val="004D46F8"/>
    <w:rsid w:val="004D498A"/>
    <w:rsid w:val="004D4D8B"/>
    <w:rsid w:val="004D5716"/>
    <w:rsid w:val="004D74D5"/>
    <w:rsid w:val="004D799A"/>
    <w:rsid w:val="004D7F69"/>
    <w:rsid w:val="004D7F6F"/>
    <w:rsid w:val="004E088A"/>
    <w:rsid w:val="004E1D7F"/>
    <w:rsid w:val="004E21FA"/>
    <w:rsid w:val="004E2515"/>
    <w:rsid w:val="004E2C7F"/>
    <w:rsid w:val="004E37A9"/>
    <w:rsid w:val="004E3C65"/>
    <w:rsid w:val="004E40E0"/>
    <w:rsid w:val="004E4388"/>
    <w:rsid w:val="004E4E14"/>
    <w:rsid w:val="004E5148"/>
    <w:rsid w:val="004E5676"/>
    <w:rsid w:val="004E66EB"/>
    <w:rsid w:val="004E6A8F"/>
    <w:rsid w:val="004E6BB8"/>
    <w:rsid w:val="004E7170"/>
    <w:rsid w:val="004E76FB"/>
    <w:rsid w:val="004F14AE"/>
    <w:rsid w:val="004F1987"/>
    <w:rsid w:val="004F22EF"/>
    <w:rsid w:val="004F26B2"/>
    <w:rsid w:val="004F2A9F"/>
    <w:rsid w:val="004F3968"/>
    <w:rsid w:val="004F40A0"/>
    <w:rsid w:val="004F4FD5"/>
    <w:rsid w:val="004F6AFD"/>
    <w:rsid w:val="004F7316"/>
    <w:rsid w:val="004F78ED"/>
    <w:rsid w:val="005041AB"/>
    <w:rsid w:val="0050458D"/>
    <w:rsid w:val="005051C1"/>
    <w:rsid w:val="0050539C"/>
    <w:rsid w:val="00505688"/>
    <w:rsid w:val="00507812"/>
    <w:rsid w:val="00507D5D"/>
    <w:rsid w:val="00511744"/>
    <w:rsid w:val="00513252"/>
    <w:rsid w:val="00513495"/>
    <w:rsid w:val="00513745"/>
    <w:rsid w:val="00514489"/>
    <w:rsid w:val="00515132"/>
    <w:rsid w:val="00515693"/>
    <w:rsid w:val="00516EF5"/>
    <w:rsid w:val="005172CE"/>
    <w:rsid w:val="005201A7"/>
    <w:rsid w:val="00520CA1"/>
    <w:rsid w:val="005223F2"/>
    <w:rsid w:val="00522C0E"/>
    <w:rsid w:val="00522CD0"/>
    <w:rsid w:val="00524A88"/>
    <w:rsid w:val="00525655"/>
    <w:rsid w:val="00525669"/>
    <w:rsid w:val="00525D54"/>
    <w:rsid w:val="005267B8"/>
    <w:rsid w:val="00527986"/>
    <w:rsid w:val="005300B4"/>
    <w:rsid w:val="00530106"/>
    <w:rsid w:val="005305C1"/>
    <w:rsid w:val="00530AED"/>
    <w:rsid w:val="00532348"/>
    <w:rsid w:val="0053270D"/>
    <w:rsid w:val="00534563"/>
    <w:rsid w:val="00534F58"/>
    <w:rsid w:val="005356E0"/>
    <w:rsid w:val="00535C8E"/>
    <w:rsid w:val="005369B2"/>
    <w:rsid w:val="00536F59"/>
    <w:rsid w:val="005379F4"/>
    <w:rsid w:val="00541629"/>
    <w:rsid w:val="00541634"/>
    <w:rsid w:val="0054211F"/>
    <w:rsid w:val="00542338"/>
    <w:rsid w:val="0054246F"/>
    <w:rsid w:val="00543C36"/>
    <w:rsid w:val="00544396"/>
    <w:rsid w:val="0054580F"/>
    <w:rsid w:val="00545861"/>
    <w:rsid w:val="00546837"/>
    <w:rsid w:val="005525DD"/>
    <w:rsid w:val="00552702"/>
    <w:rsid w:val="00553F17"/>
    <w:rsid w:val="00553F6F"/>
    <w:rsid w:val="005543C0"/>
    <w:rsid w:val="005546C6"/>
    <w:rsid w:val="00554881"/>
    <w:rsid w:val="00560460"/>
    <w:rsid w:val="00561192"/>
    <w:rsid w:val="00562033"/>
    <w:rsid w:val="0056464E"/>
    <w:rsid w:val="0056479E"/>
    <w:rsid w:val="005650E2"/>
    <w:rsid w:val="00570E41"/>
    <w:rsid w:val="0057165A"/>
    <w:rsid w:val="00571A8D"/>
    <w:rsid w:val="00571A8F"/>
    <w:rsid w:val="00572F5F"/>
    <w:rsid w:val="00574101"/>
    <w:rsid w:val="0057496E"/>
    <w:rsid w:val="00575025"/>
    <w:rsid w:val="00575185"/>
    <w:rsid w:val="00575362"/>
    <w:rsid w:val="005756A6"/>
    <w:rsid w:val="00575708"/>
    <w:rsid w:val="0057632D"/>
    <w:rsid w:val="005763BE"/>
    <w:rsid w:val="005779E5"/>
    <w:rsid w:val="00580A13"/>
    <w:rsid w:val="00580D42"/>
    <w:rsid w:val="0058300A"/>
    <w:rsid w:val="00583D7A"/>
    <w:rsid w:val="005846DD"/>
    <w:rsid w:val="00585CE9"/>
    <w:rsid w:val="00587175"/>
    <w:rsid w:val="00587632"/>
    <w:rsid w:val="005878C8"/>
    <w:rsid w:val="00587A80"/>
    <w:rsid w:val="005903E2"/>
    <w:rsid w:val="00590A97"/>
    <w:rsid w:val="005910AE"/>
    <w:rsid w:val="00592277"/>
    <w:rsid w:val="00592B2E"/>
    <w:rsid w:val="0059314B"/>
    <w:rsid w:val="00593EEA"/>
    <w:rsid w:val="00593FDB"/>
    <w:rsid w:val="00594760"/>
    <w:rsid w:val="00596F4D"/>
    <w:rsid w:val="00597CCD"/>
    <w:rsid w:val="005A0462"/>
    <w:rsid w:val="005A0B49"/>
    <w:rsid w:val="005A0E60"/>
    <w:rsid w:val="005A1C2A"/>
    <w:rsid w:val="005A1CA1"/>
    <w:rsid w:val="005A4A90"/>
    <w:rsid w:val="005A5E9C"/>
    <w:rsid w:val="005A7745"/>
    <w:rsid w:val="005B1240"/>
    <w:rsid w:val="005B13F7"/>
    <w:rsid w:val="005B1466"/>
    <w:rsid w:val="005B2552"/>
    <w:rsid w:val="005B2DFF"/>
    <w:rsid w:val="005B326E"/>
    <w:rsid w:val="005B4E65"/>
    <w:rsid w:val="005B5FA2"/>
    <w:rsid w:val="005B679B"/>
    <w:rsid w:val="005B77BB"/>
    <w:rsid w:val="005C0043"/>
    <w:rsid w:val="005C0B68"/>
    <w:rsid w:val="005C4373"/>
    <w:rsid w:val="005C4CFE"/>
    <w:rsid w:val="005C6960"/>
    <w:rsid w:val="005C6F28"/>
    <w:rsid w:val="005D17B4"/>
    <w:rsid w:val="005D3E1E"/>
    <w:rsid w:val="005D42A6"/>
    <w:rsid w:val="005D438D"/>
    <w:rsid w:val="005D58E5"/>
    <w:rsid w:val="005D59EF"/>
    <w:rsid w:val="005E059A"/>
    <w:rsid w:val="005E06E9"/>
    <w:rsid w:val="005E0A94"/>
    <w:rsid w:val="005E1639"/>
    <w:rsid w:val="005E1C51"/>
    <w:rsid w:val="005E547F"/>
    <w:rsid w:val="005E5669"/>
    <w:rsid w:val="005E602E"/>
    <w:rsid w:val="005E6CA6"/>
    <w:rsid w:val="005F04D7"/>
    <w:rsid w:val="005F2A7D"/>
    <w:rsid w:val="005F3DB3"/>
    <w:rsid w:val="005F6984"/>
    <w:rsid w:val="005F6BD9"/>
    <w:rsid w:val="005F74A7"/>
    <w:rsid w:val="00600BEF"/>
    <w:rsid w:val="0060287C"/>
    <w:rsid w:val="006029E9"/>
    <w:rsid w:val="00602D77"/>
    <w:rsid w:val="0060385D"/>
    <w:rsid w:val="00603D68"/>
    <w:rsid w:val="00603E65"/>
    <w:rsid w:val="00604554"/>
    <w:rsid w:val="0060517A"/>
    <w:rsid w:val="006064AB"/>
    <w:rsid w:val="006064E5"/>
    <w:rsid w:val="00606882"/>
    <w:rsid w:val="00607032"/>
    <w:rsid w:val="00607095"/>
    <w:rsid w:val="00607221"/>
    <w:rsid w:val="00610B44"/>
    <w:rsid w:val="00611FA5"/>
    <w:rsid w:val="006124BA"/>
    <w:rsid w:val="00612A14"/>
    <w:rsid w:val="00612BA7"/>
    <w:rsid w:val="00612C88"/>
    <w:rsid w:val="006131A9"/>
    <w:rsid w:val="00613D4B"/>
    <w:rsid w:val="00614845"/>
    <w:rsid w:val="00615A7D"/>
    <w:rsid w:val="00616C77"/>
    <w:rsid w:val="006174CE"/>
    <w:rsid w:val="00617D2D"/>
    <w:rsid w:val="00620154"/>
    <w:rsid w:val="006205E3"/>
    <w:rsid w:val="00620D12"/>
    <w:rsid w:val="0062122C"/>
    <w:rsid w:val="00621EBA"/>
    <w:rsid w:val="0062241A"/>
    <w:rsid w:val="00622CC1"/>
    <w:rsid w:val="00624988"/>
    <w:rsid w:val="0063026A"/>
    <w:rsid w:val="006304DF"/>
    <w:rsid w:val="00631F7C"/>
    <w:rsid w:val="006324BE"/>
    <w:rsid w:val="00632B94"/>
    <w:rsid w:val="00633F58"/>
    <w:rsid w:val="00635580"/>
    <w:rsid w:val="0063585C"/>
    <w:rsid w:val="00635987"/>
    <w:rsid w:val="006418EE"/>
    <w:rsid w:val="006422EF"/>
    <w:rsid w:val="006426A1"/>
    <w:rsid w:val="00642BE1"/>
    <w:rsid w:val="00643687"/>
    <w:rsid w:val="00644425"/>
    <w:rsid w:val="006478C9"/>
    <w:rsid w:val="0064798F"/>
    <w:rsid w:val="006519A9"/>
    <w:rsid w:val="00653C1C"/>
    <w:rsid w:val="00654A09"/>
    <w:rsid w:val="0065586C"/>
    <w:rsid w:val="006569AF"/>
    <w:rsid w:val="00657DBE"/>
    <w:rsid w:val="00662BC1"/>
    <w:rsid w:val="0066334F"/>
    <w:rsid w:val="00663965"/>
    <w:rsid w:val="0066531E"/>
    <w:rsid w:val="00666B9E"/>
    <w:rsid w:val="00671E0F"/>
    <w:rsid w:val="00672F17"/>
    <w:rsid w:val="00672FDC"/>
    <w:rsid w:val="00673520"/>
    <w:rsid w:val="0067374A"/>
    <w:rsid w:val="00673C1C"/>
    <w:rsid w:val="00674237"/>
    <w:rsid w:val="0067653E"/>
    <w:rsid w:val="00677EA8"/>
    <w:rsid w:val="006800FD"/>
    <w:rsid w:val="00680941"/>
    <w:rsid w:val="00680CE9"/>
    <w:rsid w:val="006820FF"/>
    <w:rsid w:val="00682FC1"/>
    <w:rsid w:val="006835F2"/>
    <w:rsid w:val="006838D4"/>
    <w:rsid w:val="006838D6"/>
    <w:rsid w:val="00683FFC"/>
    <w:rsid w:val="006868A7"/>
    <w:rsid w:val="0068756D"/>
    <w:rsid w:val="0069024A"/>
    <w:rsid w:val="00690A10"/>
    <w:rsid w:val="006941CB"/>
    <w:rsid w:val="00694809"/>
    <w:rsid w:val="006948D5"/>
    <w:rsid w:val="00695A62"/>
    <w:rsid w:val="0069760D"/>
    <w:rsid w:val="00697BC4"/>
    <w:rsid w:val="006A1089"/>
    <w:rsid w:val="006A16F2"/>
    <w:rsid w:val="006A1BCD"/>
    <w:rsid w:val="006A3880"/>
    <w:rsid w:val="006A3BB8"/>
    <w:rsid w:val="006A43F2"/>
    <w:rsid w:val="006A480D"/>
    <w:rsid w:val="006A56BF"/>
    <w:rsid w:val="006A6653"/>
    <w:rsid w:val="006A6BA2"/>
    <w:rsid w:val="006A7C25"/>
    <w:rsid w:val="006B1236"/>
    <w:rsid w:val="006B1447"/>
    <w:rsid w:val="006B14B4"/>
    <w:rsid w:val="006B2FD7"/>
    <w:rsid w:val="006B30B7"/>
    <w:rsid w:val="006B37B7"/>
    <w:rsid w:val="006B688E"/>
    <w:rsid w:val="006B787D"/>
    <w:rsid w:val="006C05EF"/>
    <w:rsid w:val="006C0C7B"/>
    <w:rsid w:val="006C10C4"/>
    <w:rsid w:val="006C2B36"/>
    <w:rsid w:val="006C2E27"/>
    <w:rsid w:val="006C3320"/>
    <w:rsid w:val="006C389D"/>
    <w:rsid w:val="006C393D"/>
    <w:rsid w:val="006C40EA"/>
    <w:rsid w:val="006C456B"/>
    <w:rsid w:val="006C4981"/>
    <w:rsid w:val="006C655C"/>
    <w:rsid w:val="006D00AB"/>
    <w:rsid w:val="006D0475"/>
    <w:rsid w:val="006D1D65"/>
    <w:rsid w:val="006D40DE"/>
    <w:rsid w:val="006D4404"/>
    <w:rsid w:val="006D47EA"/>
    <w:rsid w:val="006D488A"/>
    <w:rsid w:val="006D5CA8"/>
    <w:rsid w:val="006D63DB"/>
    <w:rsid w:val="006D6B66"/>
    <w:rsid w:val="006D7EB6"/>
    <w:rsid w:val="006E182A"/>
    <w:rsid w:val="006E21E3"/>
    <w:rsid w:val="006E34F7"/>
    <w:rsid w:val="006E4A07"/>
    <w:rsid w:val="006E4D15"/>
    <w:rsid w:val="006E5A0C"/>
    <w:rsid w:val="006E5AF5"/>
    <w:rsid w:val="006E669F"/>
    <w:rsid w:val="006E793C"/>
    <w:rsid w:val="006E7AA6"/>
    <w:rsid w:val="006F0783"/>
    <w:rsid w:val="006F2372"/>
    <w:rsid w:val="006F454B"/>
    <w:rsid w:val="006F47BC"/>
    <w:rsid w:val="006F548A"/>
    <w:rsid w:val="006F5872"/>
    <w:rsid w:val="006F5CC3"/>
    <w:rsid w:val="007003B0"/>
    <w:rsid w:val="007011F4"/>
    <w:rsid w:val="00701E8B"/>
    <w:rsid w:val="00702CCF"/>
    <w:rsid w:val="00703425"/>
    <w:rsid w:val="00703E5C"/>
    <w:rsid w:val="00703FC2"/>
    <w:rsid w:val="007055A9"/>
    <w:rsid w:val="00705AB9"/>
    <w:rsid w:val="00705B88"/>
    <w:rsid w:val="00711258"/>
    <w:rsid w:val="00712314"/>
    <w:rsid w:val="00713B9D"/>
    <w:rsid w:val="00713F54"/>
    <w:rsid w:val="0071590C"/>
    <w:rsid w:val="007214C7"/>
    <w:rsid w:val="00723071"/>
    <w:rsid w:val="007237E4"/>
    <w:rsid w:val="007242B6"/>
    <w:rsid w:val="007253BE"/>
    <w:rsid w:val="00725C87"/>
    <w:rsid w:val="00726D2F"/>
    <w:rsid w:val="0072762D"/>
    <w:rsid w:val="00727BB5"/>
    <w:rsid w:val="00730369"/>
    <w:rsid w:val="007311CF"/>
    <w:rsid w:val="00731202"/>
    <w:rsid w:val="007315CD"/>
    <w:rsid w:val="00731B17"/>
    <w:rsid w:val="00732611"/>
    <w:rsid w:val="00732F3E"/>
    <w:rsid w:val="007358AB"/>
    <w:rsid w:val="00737622"/>
    <w:rsid w:val="0074165F"/>
    <w:rsid w:val="00742C2C"/>
    <w:rsid w:val="00742E69"/>
    <w:rsid w:val="00743E54"/>
    <w:rsid w:val="00743FBA"/>
    <w:rsid w:val="0074402F"/>
    <w:rsid w:val="007463A0"/>
    <w:rsid w:val="007475E4"/>
    <w:rsid w:val="00747CC0"/>
    <w:rsid w:val="0075035D"/>
    <w:rsid w:val="00750558"/>
    <w:rsid w:val="00750D11"/>
    <w:rsid w:val="0075121A"/>
    <w:rsid w:val="007529DC"/>
    <w:rsid w:val="007543B6"/>
    <w:rsid w:val="00755AF2"/>
    <w:rsid w:val="00755CA1"/>
    <w:rsid w:val="0075685C"/>
    <w:rsid w:val="00764D02"/>
    <w:rsid w:val="00767FAC"/>
    <w:rsid w:val="007711E7"/>
    <w:rsid w:val="0077140D"/>
    <w:rsid w:val="00773191"/>
    <w:rsid w:val="0077340B"/>
    <w:rsid w:val="007738D3"/>
    <w:rsid w:val="007738FE"/>
    <w:rsid w:val="0077398D"/>
    <w:rsid w:val="00773DF2"/>
    <w:rsid w:val="00774090"/>
    <w:rsid w:val="00774D64"/>
    <w:rsid w:val="0077671D"/>
    <w:rsid w:val="00776F83"/>
    <w:rsid w:val="00777A8A"/>
    <w:rsid w:val="00777DC5"/>
    <w:rsid w:val="00780D81"/>
    <w:rsid w:val="00781801"/>
    <w:rsid w:val="0078224A"/>
    <w:rsid w:val="00782BD2"/>
    <w:rsid w:val="00784B6E"/>
    <w:rsid w:val="00784C88"/>
    <w:rsid w:val="007854FD"/>
    <w:rsid w:val="0078627E"/>
    <w:rsid w:val="00786396"/>
    <w:rsid w:val="00791B7B"/>
    <w:rsid w:val="0079345F"/>
    <w:rsid w:val="00793CB8"/>
    <w:rsid w:val="00794F64"/>
    <w:rsid w:val="00795E25"/>
    <w:rsid w:val="00796097"/>
    <w:rsid w:val="00796A8D"/>
    <w:rsid w:val="00797FF0"/>
    <w:rsid w:val="007A06F8"/>
    <w:rsid w:val="007A1711"/>
    <w:rsid w:val="007A229B"/>
    <w:rsid w:val="007A6A47"/>
    <w:rsid w:val="007B0CBD"/>
    <w:rsid w:val="007B25B4"/>
    <w:rsid w:val="007B2769"/>
    <w:rsid w:val="007B28A2"/>
    <w:rsid w:val="007B2D09"/>
    <w:rsid w:val="007B304A"/>
    <w:rsid w:val="007B39D0"/>
    <w:rsid w:val="007B3C9D"/>
    <w:rsid w:val="007B3F7D"/>
    <w:rsid w:val="007B5179"/>
    <w:rsid w:val="007B5945"/>
    <w:rsid w:val="007B6827"/>
    <w:rsid w:val="007B6FB3"/>
    <w:rsid w:val="007C01D8"/>
    <w:rsid w:val="007C0AD4"/>
    <w:rsid w:val="007C0C59"/>
    <w:rsid w:val="007C0E75"/>
    <w:rsid w:val="007C1D05"/>
    <w:rsid w:val="007C1EF6"/>
    <w:rsid w:val="007C2276"/>
    <w:rsid w:val="007C315E"/>
    <w:rsid w:val="007C3781"/>
    <w:rsid w:val="007C3CE9"/>
    <w:rsid w:val="007C4B99"/>
    <w:rsid w:val="007C6658"/>
    <w:rsid w:val="007C667B"/>
    <w:rsid w:val="007C6C53"/>
    <w:rsid w:val="007C6E2E"/>
    <w:rsid w:val="007C6EC4"/>
    <w:rsid w:val="007C7659"/>
    <w:rsid w:val="007D2472"/>
    <w:rsid w:val="007D270A"/>
    <w:rsid w:val="007D2F53"/>
    <w:rsid w:val="007D3CD3"/>
    <w:rsid w:val="007D3DE6"/>
    <w:rsid w:val="007D545A"/>
    <w:rsid w:val="007D565F"/>
    <w:rsid w:val="007D56EF"/>
    <w:rsid w:val="007D6F58"/>
    <w:rsid w:val="007D720A"/>
    <w:rsid w:val="007E08CD"/>
    <w:rsid w:val="007E2C8E"/>
    <w:rsid w:val="007E3204"/>
    <w:rsid w:val="007E3217"/>
    <w:rsid w:val="007E4539"/>
    <w:rsid w:val="007E4672"/>
    <w:rsid w:val="007E5A6B"/>
    <w:rsid w:val="007E6095"/>
    <w:rsid w:val="007E729C"/>
    <w:rsid w:val="007E7C0F"/>
    <w:rsid w:val="007F1FD9"/>
    <w:rsid w:val="007F2B7C"/>
    <w:rsid w:val="007F2FD5"/>
    <w:rsid w:val="007F4A1F"/>
    <w:rsid w:val="007F5098"/>
    <w:rsid w:val="007F5190"/>
    <w:rsid w:val="007F5CEB"/>
    <w:rsid w:val="007F6361"/>
    <w:rsid w:val="007F7517"/>
    <w:rsid w:val="007F7E3B"/>
    <w:rsid w:val="00800365"/>
    <w:rsid w:val="008007E2"/>
    <w:rsid w:val="008016FB"/>
    <w:rsid w:val="008037A0"/>
    <w:rsid w:val="008061EE"/>
    <w:rsid w:val="008062F6"/>
    <w:rsid w:val="00806303"/>
    <w:rsid w:val="00806800"/>
    <w:rsid w:val="008072A6"/>
    <w:rsid w:val="008072F4"/>
    <w:rsid w:val="0081017A"/>
    <w:rsid w:val="00811F37"/>
    <w:rsid w:val="00812695"/>
    <w:rsid w:val="00814ADB"/>
    <w:rsid w:val="008157AE"/>
    <w:rsid w:val="00815D5D"/>
    <w:rsid w:val="008165C8"/>
    <w:rsid w:val="0081681C"/>
    <w:rsid w:val="00817E68"/>
    <w:rsid w:val="0082091E"/>
    <w:rsid w:val="00821E3B"/>
    <w:rsid w:val="008221CC"/>
    <w:rsid w:val="008225F0"/>
    <w:rsid w:val="008245A6"/>
    <w:rsid w:val="00826F36"/>
    <w:rsid w:val="00832526"/>
    <w:rsid w:val="00833658"/>
    <w:rsid w:val="0083495F"/>
    <w:rsid w:val="00834995"/>
    <w:rsid w:val="0083614A"/>
    <w:rsid w:val="00836EF4"/>
    <w:rsid w:val="00837CFB"/>
    <w:rsid w:val="008409F9"/>
    <w:rsid w:val="00842A8F"/>
    <w:rsid w:val="0084345C"/>
    <w:rsid w:val="00846AF8"/>
    <w:rsid w:val="00847FCC"/>
    <w:rsid w:val="008527F8"/>
    <w:rsid w:val="00853613"/>
    <w:rsid w:val="00854415"/>
    <w:rsid w:val="008570DA"/>
    <w:rsid w:val="0085729C"/>
    <w:rsid w:val="00860719"/>
    <w:rsid w:val="00860DAA"/>
    <w:rsid w:val="00862027"/>
    <w:rsid w:val="008625AF"/>
    <w:rsid w:val="00862A2E"/>
    <w:rsid w:val="00864F2B"/>
    <w:rsid w:val="008654C5"/>
    <w:rsid w:val="008654E5"/>
    <w:rsid w:val="008670D4"/>
    <w:rsid w:val="00870F0F"/>
    <w:rsid w:val="00870F2F"/>
    <w:rsid w:val="00874919"/>
    <w:rsid w:val="00875AAE"/>
    <w:rsid w:val="00875D5C"/>
    <w:rsid w:val="00877603"/>
    <w:rsid w:val="00880271"/>
    <w:rsid w:val="00880942"/>
    <w:rsid w:val="00880D90"/>
    <w:rsid w:val="0088280E"/>
    <w:rsid w:val="008851F3"/>
    <w:rsid w:val="0088567C"/>
    <w:rsid w:val="008874A9"/>
    <w:rsid w:val="008874EA"/>
    <w:rsid w:val="00887AD2"/>
    <w:rsid w:val="00890368"/>
    <w:rsid w:val="00891594"/>
    <w:rsid w:val="0089455F"/>
    <w:rsid w:val="008947C1"/>
    <w:rsid w:val="00895BBD"/>
    <w:rsid w:val="00896985"/>
    <w:rsid w:val="008A1107"/>
    <w:rsid w:val="008A23CE"/>
    <w:rsid w:val="008A3912"/>
    <w:rsid w:val="008A39BE"/>
    <w:rsid w:val="008A43F7"/>
    <w:rsid w:val="008A511C"/>
    <w:rsid w:val="008A52DE"/>
    <w:rsid w:val="008A55CD"/>
    <w:rsid w:val="008A560E"/>
    <w:rsid w:val="008A6B2C"/>
    <w:rsid w:val="008B0005"/>
    <w:rsid w:val="008B0746"/>
    <w:rsid w:val="008B094D"/>
    <w:rsid w:val="008B0FCA"/>
    <w:rsid w:val="008B1576"/>
    <w:rsid w:val="008B1CBD"/>
    <w:rsid w:val="008B24B4"/>
    <w:rsid w:val="008B26F1"/>
    <w:rsid w:val="008B32D2"/>
    <w:rsid w:val="008B4DA7"/>
    <w:rsid w:val="008B511F"/>
    <w:rsid w:val="008B5509"/>
    <w:rsid w:val="008B5613"/>
    <w:rsid w:val="008B6887"/>
    <w:rsid w:val="008B6E67"/>
    <w:rsid w:val="008B7B5C"/>
    <w:rsid w:val="008C06EC"/>
    <w:rsid w:val="008C0B40"/>
    <w:rsid w:val="008C1216"/>
    <w:rsid w:val="008C195B"/>
    <w:rsid w:val="008C3292"/>
    <w:rsid w:val="008C5C42"/>
    <w:rsid w:val="008C6747"/>
    <w:rsid w:val="008C6863"/>
    <w:rsid w:val="008D0615"/>
    <w:rsid w:val="008D1EBD"/>
    <w:rsid w:val="008D332F"/>
    <w:rsid w:val="008D4636"/>
    <w:rsid w:val="008D4E01"/>
    <w:rsid w:val="008D542E"/>
    <w:rsid w:val="008D572E"/>
    <w:rsid w:val="008D5841"/>
    <w:rsid w:val="008D63C0"/>
    <w:rsid w:val="008D789D"/>
    <w:rsid w:val="008E007F"/>
    <w:rsid w:val="008E09B8"/>
    <w:rsid w:val="008E2B71"/>
    <w:rsid w:val="008E31AC"/>
    <w:rsid w:val="008E3D7C"/>
    <w:rsid w:val="008E41BD"/>
    <w:rsid w:val="008E450F"/>
    <w:rsid w:val="008E4F9A"/>
    <w:rsid w:val="008E6EB7"/>
    <w:rsid w:val="008F1D52"/>
    <w:rsid w:val="008F266F"/>
    <w:rsid w:val="008F30EC"/>
    <w:rsid w:val="008F370C"/>
    <w:rsid w:val="008F38AB"/>
    <w:rsid w:val="008F4B59"/>
    <w:rsid w:val="008F5082"/>
    <w:rsid w:val="008F5FFD"/>
    <w:rsid w:val="008F6290"/>
    <w:rsid w:val="008F6695"/>
    <w:rsid w:val="00902750"/>
    <w:rsid w:val="009031EA"/>
    <w:rsid w:val="00903D79"/>
    <w:rsid w:val="00910BC8"/>
    <w:rsid w:val="00911754"/>
    <w:rsid w:val="00911D5C"/>
    <w:rsid w:val="009132EC"/>
    <w:rsid w:val="00914D77"/>
    <w:rsid w:val="009179E8"/>
    <w:rsid w:val="00917FDD"/>
    <w:rsid w:val="009206B0"/>
    <w:rsid w:val="00921292"/>
    <w:rsid w:val="00925F51"/>
    <w:rsid w:val="00925FC1"/>
    <w:rsid w:val="00926CEA"/>
    <w:rsid w:val="00927E20"/>
    <w:rsid w:val="00930C14"/>
    <w:rsid w:val="00931DF8"/>
    <w:rsid w:val="009322B9"/>
    <w:rsid w:val="00932431"/>
    <w:rsid w:val="00933212"/>
    <w:rsid w:val="009344D3"/>
    <w:rsid w:val="00937667"/>
    <w:rsid w:val="009379F0"/>
    <w:rsid w:val="00940590"/>
    <w:rsid w:val="00940B8E"/>
    <w:rsid w:val="00940D39"/>
    <w:rsid w:val="00940DEB"/>
    <w:rsid w:val="009414AD"/>
    <w:rsid w:val="009442E8"/>
    <w:rsid w:val="009444DA"/>
    <w:rsid w:val="009450D9"/>
    <w:rsid w:val="00945749"/>
    <w:rsid w:val="0094684D"/>
    <w:rsid w:val="00946CD7"/>
    <w:rsid w:val="00947206"/>
    <w:rsid w:val="009475AB"/>
    <w:rsid w:val="00950832"/>
    <w:rsid w:val="00952B6B"/>
    <w:rsid w:val="009539D1"/>
    <w:rsid w:val="0095482B"/>
    <w:rsid w:val="00955A54"/>
    <w:rsid w:val="00955AAF"/>
    <w:rsid w:val="00956F31"/>
    <w:rsid w:val="00961317"/>
    <w:rsid w:val="00961EFA"/>
    <w:rsid w:val="00963EE7"/>
    <w:rsid w:val="00965FDF"/>
    <w:rsid w:val="00967B2B"/>
    <w:rsid w:val="00970879"/>
    <w:rsid w:val="00970E35"/>
    <w:rsid w:val="00971292"/>
    <w:rsid w:val="00971A94"/>
    <w:rsid w:val="009723CC"/>
    <w:rsid w:val="00973D78"/>
    <w:rsid w:val="0097553B"/>
    <w:rsid w:val="009760D1"/>
    <w:rsid w:val="00977EDB"/>
    <w:rsid w:val="00980C3D"/>
    <w:rsid w:val="00981761"/>
    <w:rsid w:val="0098179A"/>
    <w:rsid w:val="00982D5E"/>
    <w:rsid w:val="00983C77"/>
    <w:rsid w:val="00983E64"/>
    <w:rsid w:val="0098425E"/>
    <w:rsid w:val="00987C99"/>
    <w:rsid w:val="00990270"/>
    <w:rsid w:val="009902C0"/>
    <w:rsid w:val="0099094B"/>
    <w:rsid w:val="009912A7"/>
    <w:rsid w:val="00992842"/>
    <w:rsid w:val="0099392C"/>
    <w:rsid w:val="00993DCB"/>
    <w:rsid w:val="0099525C"/>
    <w:rsid w:val="009955F6"/>
    <w:rsid w:val="00996E89"/>
    <w:rsid w:val="00997361"/>
    <w:rsid w:val="009A048D"/>
    <w:rsid w:val="009A1CD5"/>
    <w:rsid w:val="009A1CDF"/>
    <w:rsid w:val="009A2628"/>
    <w:rsid w:val="009A2EFA"/>
    <w:rsid w:val="009A3496"/>
    <w:rsid w:val="009A3960"/>
    <w:rsid w:val="009A45A3"/>
    <w:rsid w:val="009A496E"/>
    <w:rsid w:val="009A588F"/>
    <w:rsid w:val="009A5A93"/>
    <w:rsid w:val="009A63A4"/>
    <w:rsid w:val="009A6B6C"/>
    <w:rsid w:val="009A6B93"/>
    <w:rsid w:val="009A728A"/>
    <w:rsid w:val="009A7CBC"/>
    <w:rsid w:val="009B0D43"/>
    <w:rsid w:val="009B1359"/>
    <w:rsid w:val="009B1DA7"/>
    <w:rsid w:val="009B2B9D"/>
    <w:rsid w:val="009B41E9"/>
    <w:rsid w:val="009B59AA"/>
    <w:rsid w:val="009B60FF"/>
    <w:rsid w:val="009B717E"/>
    <w:rsid w:val="009B7C41"/>
    <w:rsid w:val="009C23B3"/>
    <w:rsid w:val="009C3A1B"/>
    <w:rsid w:val="009C3A2F"/>
    <w:rsid w:val="009C673D"/>
    <w:rsid w:val="009C68C8"/>
    <w:rsid w:val="009C6CC8"/>
    <w:rsid w:val="009C76D2"/>
    <w:rsid w:val="009C7CBC"/>
    <w:rsid w:val="009D1876"/>
    <w:rsid w:val="009D19D5"/>
    <w:rsid w:val="009D2BD1"/>
    <w:rsid w:val="009D2EFA"/>
    <w:rsid w:val="009D36DA"/>
    <w:rsid w:val="009D51B1"/>
    <w:rsid w:val="009D694D"/>
    <w:rsid w:val="009D6FC3"/>
    <w:rsid w:val="009D7268"/>
    <w:rsid w:val="009D75B3"/>
    <w:rsid w:val="009E0BE9"/>
    <w:rsid w:val="009E132F"/>
    <w:rsid w:val="009E1428"/>
    <w:rsid w:val="009E1EF7"/>
    <w:rsid w:val="009E27BE"/>
    <w:rsid w:val="009E2D51"/>
    <w:rsid w:val="009E5718"/>
    <w:rsid w:val="009E661E"/>
    <w:rsid w:val="009E6E3D"/>
    <w:rsid w:val="009E756D"/>
    <w:rsid w:val="009E7FDF"/>
    <w:rsid w:val="009F17EC"/>
    <w:rsid w:val="009F3385"/>
    <w:rsid w:val="009F450A"/>
    <w:rsid w:val="009F50CF"/>
    <w:rsid w:val="009F5A2A"/>
    <w:rsid w:val="009F661D"/>
    <w:rsid w:val="009F67F1"/>
    <w:rsid w:val="009F740E"/>
    <w:rsid w:val="009F7EDC"/>
    <w:rsid w:val="00A00139"/>
    <w:rsid w:val="00A00753"/>
    <w:rsid w:val="00A00759"/>
    <w:rsid w:val="00A013F4"/>
    <w:rsid w:val="00A01A86"/>
    <w:rsid w:val="00A02349"/>
    <w:rsid w:val="00A024A9"/>
    <w:rsid w:val="00A029EB"/>
    <w:rsid w:val="00A035A0"/>
    <w:rsid w:val="00A0418B"/>
    <w:rsid w:val="00A06E12"/>
    <w:rsid w:val="00A07E35"/>
    <w:rsid w:val="00A11FA5"/>
    <w:rsid w:val="00A12ABC"/>
    <w:rsid w:val="00A12C35"/>
    <w:rsid w:val="00A14F47"/>
    <w:rsid w:val="00A152BD"/>
    <w:rsid w:val="00A16476"/>
    <w:rsid w:val="00A16E73"/>
    <w:rsid w:val="00A17E25"/>
    <w:rsid w:val="00A218AF"/>
    <w:rsid w:val="00A22408"/>
    <w:rsid w:val="00A2259B"/>
    <w:rsid w:val="00A22BB9"/>
    <w:rsid w:val="00A22E91"/>
    <w:rsid w:val="00A239E8"/>
    <w:rsid w:val="00A23B3F"/>
    <w:rsid w:val="00A23DC6"/>
    <w:rsid w:val="00A24E09"/>
    <w:rsid w:val="00A2520F"/>
    <w:rsid w:val="00A2545F"/>
    <w:rsid w:val="00A27764"/>
    <w:rsid w:val="00A27DFC"/>
    <w:rsid w:val="00A27FAD"/>
    <w:rsid w:val="00A30AF7"/>
    <w:rsid w:val="00A31D8B"/>
    <w:rsid w:val="00A32FD6"/>
    <w:rsid w:val="00A3320A"/>
    <w:rsid w:val="00A356E9"/>
    <w:rsid w:val="00A37BB9"/>
    <w:rsid w:val="00A4064A"/>
    <w:rsid w:val="00A414C4"/>
    <w:rsid w:val="00A41FD6"/>
    <w:rsid w:val="00A42491"/>
    <w:rsid w:val="00A42D57"/>
    <w:rsid w:val="00A43340"/>
    <w:rsid w:val="00A43B68"/>
    <w:rsid w:val="00A43DB2"/>
    <w:rsid w:val="00A44396"/>
    <w:rsid w:val="00A45309"/>
    <w:rsid w:val="00A473BB"/>
    <w:rsid w:val="00A474BB"/>
    <w:rsid w:val="00A47B75"/>
    <w:rsid w:val="00A501EC"/>
    <w:rsid w:val="00A52222"/>
    <w:rsid w:val="00A52B7A"/>
    <w:rsid w:val="00A54B80"/>
    <w:rsid w:val="00A54FED"/>
    <w:rsid w:val="00A5663D"/>
    <w:rsid w:val="00A56B53"/>
    <w:rsid w:val="00A56B85"/>
    <w:rsid w:val="00A60DAD"/>
    <w:rsid w:val="00A6325E"/>
    <w:rsid w:val="00A63298"/>
    <w:rsid w:val="00A65950"/>
    <w:rsid w:val="00A732F8"/>
    <w:rsid w:val="00A748B0"/>
    <w:rsid w:val="00A76A91"/>
    <w:rsid w:val="00A76E1C"/>
    <w:rsid w:val="00A77E3C"/>
    <w:rsid w:val="00A806C8"/>
    <w:rsid w:val="00A80E00"/>
    <w:rsid w:val="00A814BA"/>
    <w:rsid w:val="00A822B8"/>
    <w:rsid w:val="00A82C9F"/>
    <w:rsid w:val="00A84354"/>
    <w:rsid w:val="00A84923"/>
    <w:rsid w:val="00A84F36"/>
    <w:rsid w:val="00A85326"/>
    <w:rsid w:val="00A8596B"/>
    <w:rsid w:val="00A8756C"/>
    <w:rsid w:val="00A87F82"/>
    <w:rsid w:val="00A91669"/>
    <w:rsid w:val="00A94F17"/>
    <w:rsid w:val="00A96903"/>
    <w:rsid w:val="00A975C3"/>
    <w:rsid w:val="00AA02CE"/>
    <w:rsid w:val="00AA0579"/>
    <w:rsid w:val="00AA0C8F"/>
    <w:rsid w:val="00AA1273"/>
    <w:rsid w:val="00AA2056"/>
    <w:rsid w:val="00AA23D8"/>
    <w:rsid w:val="00AA2F13"/>
    <w:rsid w:val="00AA30CE"/>
    <w:rsid w:val="00AA5253"/>
    <w:rsid w:val="00AA587F"/>
    <w:rsid w:val="00AA6C6C"/>
    <w:rsid w:val="00AA7CE0"/>
    <w:rsid w:val="00AB15D2"/>
    <w:rsid w:val="00AB1B8A"/>
    <w:rsid w:val="00AB2ED8"/>
    <w:rsid w:val="00AB376C"/>
    <w:rsid w:val="00AB3882"/>
    <w:rsid w:val="00AB76A9"/>
    <w:rsid w:val="00AC149B"/>
    <w:rsid w:val="00AC252D"/>
    <w:rsid w:val="00AC418C"/>
    <w:rsid w:val="00AC4BF8"/>
    <w:rsid w:val="00AC5E60"/>
    <w:rsid w:val="00AC6AAC"/>
    <w:rsid w:val="00AD1427"/>
    <w:rsid w:val="00AD26EF"/>
    <w:rsid w:val="00AD3740"/>
    <w:rsid w:val="00AD458B"/>
    <w:rsid w:val="00AD5126"/>
    <w:rsid w:val="00AD5AB0"/>
    <w:rsid w:val="00AD62A3"/>
    <w:rsid w:val="00AD66B3"/>
    <w:rsid w:val="00AD7F56"/>
    <w:rsid w:val="00AD7F60"/>
    <w:rsid w:val="00AE3877"/>
    <w:rsid w:val="00AE4151"/>
    <w:rsid w:val="00AE611E"/>
    <w:rsid w:val="00AE6A90"/>
    <w:rsid w:val="00AE6B86"/>
    <w:rsid w:val="00AE6B89"/>
    <w:rsid w:val="00AE7D9D"/>
    <w:rsid w:val="00AE7EAC"/>
    <w:rsid w:val="00AF2689"/>
    <w:rsid w:val="00AF3270"/>
    <w:rsid w:val="00AF38C8"/>
    <w:rsid w:val="00AF43A2"/>
    <w:rsid w:val="00AF46DB"/>
    <w:rsid w:val="00AF47FD"/>
    <w:rsid w:val="00AF6D8E"/>
    <w:rsid w:val="00AF7B29"/>
    <w:rsid w:val="00B00AF9"/>
    <w:rsid w:val="00B01406"/>
    <w:rsid w:val="00B02992"/>
    <w:rsid w:val="00B02A32"/>
    <w:rsid w:val="00B04535"/>
    <w:rsid w:val="00B04EE8"/>
    <w:rsid w:val="00B0601E"/>
    <w:rsid w:val="00B065AF"/>
    <w:rsid w:val="00B07395"/>
    <w:rsid w:val="00B0796C"/>
    <w:rsid w:val="00B10A06"/>
    <w:rsid w:val="00B12511"/>
    <w:rsid w:val="00B13645"/>
    <w:rsid w:val="00B14B89"/>
    <w:rsid w:val="00B16572"/>
    <w:rsid w:val="00B20D22"/>
    <w:rsid w:val="00B20E56"/>
    <w:rsid w:val="00B21173"/>
    <w:rsid w:val="00B217F3"/>
    <w:rsid w:val="00B21AB7"/>
    <w:rsid w:val="00B21F3A"/>
    <w:rsid w:val="00B22124"/>
    <w:rsid w:val="00B223AE"/>
    <w:rsid w:val="00B23AC9"/>
    <w:rsid w:val="00B26A5C"/>
    <w:rsid w:val="00B27597"/>
    <w:rsid w:val="00B314B4"/>
    <w:rsid w:val="00B3203C"/>
    <w:rsid w:val="00B32C81"/>
    <w:rsid w:val="00B33B83"/>
    <w:rsid w:val="00B346AE"/>
    <w:rsid w:val="00B34826"/>
    <w:rsid w:val="00B36059"/>
    <w:rsid w:val="00B36D7D"/>
    <w:rsid w:val="00B40462"/>
    <w:rsid w:val="00B40645"/>
    <w:rsid w:val="00B40A61"/>
    <w:rsid w:val="00B441D7"/>
    <w:rsid w:val="00B4532E"/>
    <w:rsid w:val="00B454B3"/>
    <w:rsid w:val="00B4605C"/>
    <w:rsid w:val="00B469CC"/>
    <w:rsid w:val="00B50288"/>
    <w:rsid w:val="00B50761"/>
    <w:rsid w:val="00B51998"/>
    <w:rsid w:val="00B51C6A"/>
    <w:rsid w:val="00B538FD"/>
    <w:rsid w:val="00B53B3A"/>
    <w:rsid w:val="00B56945"/>
    <w:rsid w:val="00B5698C"/>
    <w:rsid w:val="00B56D61"/>
    <w:rsid w:val="00B60821"/>
    <w:rsid w:val="00B608ED"/>
    <w:rsid w:val="00B6110E"/>
    <w:rsid w:val="00B617D2"/>
    <w:rsid w:val="00B61F09"/>
    <w:rsid w:val="00B62B8E"/>
    <w:rsid w:val="00B648E3"/>
    <w:rsid w:val="00B65568"/>
    <w:rsid w:val="00B65954"/>
    <w:rsid w:val="00B65C06"/>
    <w:rsid w:val="00B667C6"/>
    <w:rsid w:val="00B66DC6"/>
    <w:rsid w:val="00B66E51"/>
    <w:rsid w:val="00B71C22"/>
    <w:rsid w:val="00B7249D"/>
    <w:rsid w:val="00B725A7"/>
    <w:rsid w:val="00B739A0"/>
    <w:rsid w:val="00B73A45"/>
    <w:rsid w:val="00B747ED"/>
    <w:rsid w:val="00B75547"/>
    <w:rsid w:val="00B770E3"/>
    <w:rsid w:val="00B80D87"/>
    <w:rsid w:val="00B812BA"/>
    <w:rsid w:val="00B81BCF"/>
    <w:rsid w:val="00B83009"/>
    <w:rsid w:val="00B830D0"/>
    <w:rsid w:val="00B83D4E"/>
    <w:rsid w:val="00B845BC"/>
    <w:rsid w:val="00B86DBD"/>
    <w:rsid w:val="00B87B2D"/>
    <w:rsid w:val="00B87C88"/>
    <w:rsid w:val="00B90321"/>
    <w:rsid w:val="00B913DD"/>
    <w:rsid w:val="00B920B9"/>
    <w:rsid w:val="00B9221E"/>
    <w:rsid w:val="00B9275F"/>
    <w:rsid w:val="00B92D78"/>
    <w:rsid w:val="00B93053"/>
    <w:rsid w:val="00B93B23"/>
    <w:rsid w:val="00B93D80"/>
    <w:rsid w:val="00B93F05"/>
    <w:rsid w:val="00B9443D"/>
    <w:rsid w:val="00B945AF"/>
    <w:rsid w:val="00B9473D"/>
    <w:rsid w:val="00B954D8"/>
    <w:rsid w:val="00B955C1"/>
    <w:rsid w:val="00B96B95"/>
    <w:rsid w:val="00BA02BF"/>
    <w:rsid w:val="00BA0E42"/>
    <w:rsid w:val="00BA2D33"/>
    <w:rsid w:val="00BA3C8E"/>
    <w:rsid w:val="00BA47F1"/>
    <w:rsid w:val="00BA7A05"/>
    <w:rsid w:val="00BB03BF"/>
    <w:rsid w:val="00BB388D"/>
    <w:rsid w:val="00BB3F92"/>
    <w:rsid w:val="00BB4107"/>
    <w:rsid w:val="00BB664C"/>
    <w:rsid w:val="00BB6D0F"/>
    <w:rsid w:val="00BB78B8"/>
    <w:rsid w:val="00BC02A4"/>
    <w:rsid w:val="00BC1B04"/>
    <w:rsid w:val="00BC1C28"/>
    <w:rsid w:val="00BC2632"/>
    <w:rsid w:val="00BC2C72"/>
    <w:rsid w:val="00BC2F17"/>
    <w:rsid w:val="00BC3DE5"/>
    <w:rsid w:val="00BC4685"/>
    <w:rsid w:val="00BC5179"/>
    <w:rsid w:val="00BC6CF0"/>
    <w:rsid w:val="00BD035D"/>
    <w:rsid w:val="00BD0AAB"/>
    <w:rsid w:val="00BD25A7"/>
    <w:rsid w:val="00BD298D"/>
    <w:rsid w:val="00BD31A8"/>
    <w:rsid w:val="00BD329D"/>
    <w:rsid w:val="00BD45A0"/>
    <w:rsid w:val="00BD66DB"/>
    <w:rsid w:val="00BD794D"/>
    <w:rsid w:val="00BD7B06"/>
    <w:rsid w:val="00BE03D0"/>
    <w:rsid w:val="00BE1992"/>
    <w:rsid w:val="00BE47A2"/>
    <w:rsid w:val="00BE634B"/>
    <w:rsid w:val="00BE65DB"/>
    <w:rsid w:val="00BE759F"/>
    <w:rsid w:val="00BE75F7"/>
    <w:rsid w:val="00BE7EEE"/>
    <w:rsid w:val="00BF06B6"/>
    <w:rsid w:val="00BF1E74"/>
    <w:rsid w:val="00BF26A8"/>
    <w:rsid w:val="00BF6D57"/>
    <w:rsid w:val="00BF7650"/>
    <w:rsid w:val="00C00F1B"/>
    <w:rsid w:val="00C01D28"/>
    <w:rsid w:val="00C0209D"/>
    <w:rsid w:val="00C030FD"/>
    <w:rsid w:val="00C03B60"/>
    <w:rsid w:val="00C04C5C"/>
    <w:rsid w:val="00C04E4D"/>
    <w:rsid w:val="00C0595B"/>
    <w:rsid w:val="00C05EF2"/>
    <w:rsid w:val="00C106B2"/>
    <w:rsid w:val="00C10B40"/>
    <w:rsid w:val="00C112A4"/>
    <w:rsid w:val="00C12604"/>
    <w:rsid w:val="00C1267E"/>
    <w:rsid w:val="00C13B39"/>
    <w:rsid w:val="00C15471"/>
    <w:rsid w:val="00C15D41"/>
    <w:rsid w:val="00C16030"/>
    <w:rsid w:val="00C167AD"/>
    <w:rsid w:val="00C20380"/>
    <w:rsid w:val="00C222A6"/>
    <w:rsid w:val="00C23CA5"/>
    <w:rsid w:val="00C24231"/>
    <w:rsid w:val="00C246C0"/>
    <w:rsid w:val="00C246F8"/>
    <w:rsid w:val="00C2524C"/>
    <w:rsid w:val="00C25482"/>
    <w:rsid w:val="00C26100"/>
    <w:rsid w:val="00C263D1"/>
    <w:rsid w:val="00C26565"/>
    <w:rsid w:val="00C2762D"/>
    <w:rsid w:val="00C30210"/>
    <w:rsid w:val="00C302DC"/>
    <w:rsid w:val="00C30535"/>
    <w:rsid w:val="00C31380"/>
    <w:rsid w:val="00C31B00"/>
    <w:rsid w:val="00C32AE7"/>
    <w:rsid w:val="00C33C4B"/>
    <w:rsid w:val="00C34D64"/>
    <w:rsid w:val="00C35F76"/>
    <w:rsid w:val="00C363B1"/>
    <w:rsid w:val="00C36D18"/>
    <w:rsid w:val="00C36FEF"/>
    <w:rsid w:val="00C377A5"/>
    <w:rsid w:val="00C3797F"/>
    <w:rsid w:val="00C37C52"/>
    <w:rsid w:val="00C403FA"/>
    <w:rsid w:val="00C41319"/>
    <w:rsid w:val="00C41E72"/>
    <w:rsid w:val="00C41ED5"/>
    <w:rsid w:val="00C42157"/>
    <w:rsid w:val="00C435A3"/>
    <w:rsid w:val="00C4390C"/>
    <w:rsid w:val="00C440ED"/>
    <w:rsid w:val="00C45804"/>
    <w:rsid w:val="00C45E32"/>
    <w:rsid w:val="00C50379"/>
    <w:rsid w:val="00C50872"/>
    <w:rsid w:val="00C50941"/>
    <w:rsid w:val="00C532BE"/>
    <w:rsid w:val="00C54A6C"/>
    <w:rsid w:val="00C61630"/>
    <w:rsid w:val="00C63A3A"/>
    <w:rsid w:val="00C63D1F"/>
    <w:rsid w:val="00C63F93"/>
    <w:rsid w:val="00C65613"/>
    <w:rsid w:val="00C65AB2"/>
    <w:rsid w:val="00C65AE6"/>
    <w:rsid w:val="00C66555"/>
    <w:rsid w:val="00C67757"/>
    <w:rsid w:val="00C7084F"/>
    <w:rsid w:val="00C71336"/>
    <w:rsid w:val="00C719F2"/>
    <w:rsid w:val="00C723C7"/>
    <w:rsid w:val="00C76ACC"/>
    <w:rsid w:val="00C7713D"/>
    <w:rsid w:val="00C82375"/>
    <w:rsid w:val="00C8289E"/>
    <w:rsid w:val="00C82FEC"/>
    <w:rsid w:val="00C83545"/>
    <w:rsid w:val="00C84D84"/>
    <w:rsid w:val="00C8519C"/>
    <w:rsid w:val="00C8634A"/>
    <w:rsid w:val="00C8647C"/>
    <w:rsid w:val="00C86E7A"/>
    <w:rsid w:val="00C871F9"/>
    <w:rsid w:val="00C91A59"/>
    <w:rsid w:val="00C92751"/>
    <w:rsid w:val="00C92BBE"/>
    <w:rsid w:val="00C9334E"/>
    <w:rsid w:val="00C93FC5"/>
    <w:rsid w:val="00C94057"/>
    <w:rsid w:val="00C948FF"/>
    <w:rsid w:val="00C94E1E"/>
    <w:rsid w:val="00C9796D"/>
    <w:rsid w:val="00CA16F0"/>
    <w:rsid w:val="00CA1B6D"/>
    <w:rsid w:val="00CA1C0F"/>
    <w:rsid w:val="00CA293E"/>
    <w:rsid w:val="00CA32D5"/>
    <w:rsid w:val="00CA3A3E"/>
    <w:rsid w:val="00CB0EB5"/>
    <w:rsid w:val="00CB23EE"/>
    <w:rsid w:val="00CB2A1F"/>
    <w:rsid w:val="00CB3264"/>
    <w:rsid w:val="00CB4EC5"/>
    <w:rsid w:val="00CB5198"/>
    <w:rsid w:val="00CB6085"/>
    <w:rsid w:val="00CB6BD8"/>
    <w:rsid w:val="00CB6F44"/>
    <w:rsid w:val="00CC0FA4"/>
    <w:rsid w:val="00CC1AA5"/>
    <w:rsid w:val="00CC1B9E"/>
    <w:rsid w:val="00CC1DF1"/>
    <w:rsid w:val="00CC1E68"/>
    <w:rsid w:val="00CC2798"/>
    <w:rsid w:val="00CC49EC"/>
    <w:rsid w:val="00CC62D0"/>
    <w:rsid w:val="00CC640A"/>
    <w:rsid w:val="00CC6ED1"/>
    <w:rsid w:val="00CD0961"/>
    <w:rsid w:val="00CD3362"/>
    <w:rsid w:val="00CD44D3"/>
    <w:rsid w:val="00CD4988"/>
    <w:rsid w:val="00CD575C"/>
    <w:rsid w:val="00CD578F"/>
    <w:rsid w:val="00CD5C21"/>
    <w:rsid w:val="00CD5EC2"/>
    <w:rsid w:val="00CD6421"/>
    <w:rsid w:val="00CE0F60"/>
    <w:rsid w:val="00CE1455"/>
    <w:rsid w:val="00CE1DFA"/>
    <w:rsid w:val="00CE3DF7"/>
    <w:rsid w:val="00CE441C"/>
    <w:rsid w:val="00CE4425"/>
    <w:rsid w:val="00CE4623"/>
    <w:rsid w:val="00CE5B2D"/>
    <w:rsid w:val="00CE5BE2"/>
    <w:rsid w:val="00CE5C3E"/>
    <w:rsid w:val="00CE60CC"/>
    <w:rsid w:val="00CE6859"/>
    <w:rsid w:val="00CE6F88"/>
    <w:rsid w:val="00CE7080"/>
    <w:rsid w:val="00CE71BA"/>
    <w:rsid w:val="00CF0474"/>
    <w:rsid w:val="00CF08E6"/>
    <w:rsid w:val="00CF1F4A"/>
    <w:rsid w:val="00CF33D5"/>
    <w:rsid w:val="00CF4D0E"/>
    <w:rsid w:val="00D0123C"/>
    <w:rsid w:val="00D02F6E"/>
    <w:rsid w:val="00D0390F"/>
    <w:rsid w:val="00D051F0"/>
    <w:rsid w:val="00D05CC2"/>
    <w:rsid w:val="00D077E3"/>
    <w:rsid w:val="00D07972"/>
    <w:rsid w:val="00D106F0"/>
    <w:rsid w:val="00D1072F"/>
    <w:rsid w:val="00D10DB1"/>
    <w:rsid w:val="00D11385"/>
    <w:rsid w:val="00D12B46"/>
    <w:rsid w:val="00D12C4F"/>
    <w:rsid w:val="00D13EE2"/>
    <w:rsid w:val="00D141E4"/>
    <w:rsid w:val="00D162F8"/>
    <w:rsid w:val="00D163D2"/>
    <w:rsid w:val="00D176D1"/>
    <w:rsid w:val="00D17F6C"/>
    <w:rsid w:val="00D20ADA"/>
    <w:rsid w:val="00D21D9F"/>
    <w:rsid w:val="00D2253A"/>
    <w:rsid w:val="00D23E2D"/>
    <w:rsid w:val="00D2417F"/>
    <w:rsid w:val="00D2451C"/>
    <w:rsid w:val="00D25D59"/>
    <w:rsid w:val="00D26299"/>
    <w:rsid w:val="00D26576"/>
    <w:rsid w:val="00D27092"/>
    <w:rsid w:val="00D27191"/>
    <w:rsid w:val="00D31B1B"/>
    <w:rsid w:val="00D32D72"/>
    <w:rsid w:val="00D34B31"/>
    <w:rsid w:val="00D34EA5"/>
    <w:rsid w:val="00D3502E"/>
    <w:rsid w:val="00D351A3"/>
    <w:rsid w:val="00D35429"/>
    <w:rsid w:val="00D35AFF"/>
    <w:rsid w:val="00D35EE6"/>
    <w:rsid w:val="00D37BC5"/>
    <w:rsid w:val="00D402BC"/>
    <w:rsid w:val="00D40F30"/>
    <w:rsid w:val="00D42116"/>
    <w:rsid w:val="00D42140"/>
    <w:rsid w:val="00D45D3C"/>
    <w:rsid w:val="00D45D76"/>
    <w:rsid w:val="00D4619B"/>
    <w:rsid w:val="00D50142"/>
    <w:rsid w:val="00D5190D"/>
    <w:rsid w:val="00D529EA"/>
    <w:rsid w:val="00D52F37"/>
    <w:rsid w:val="00D53073"/>
    <w:rsid w:val="00D542A0"/>
    <w:rsid w:val="00D552F8"/>
    <w:rsid w:val="00D5677A"/>
    <w:rsid w:val="00D57C6C"/>
    <w:rsid w:val="00D57EC7"/>
    <w:rsid w:val="00D6199C"/>
    <w:rsid w:val="00D6302C"/>
    <w:rsid w:val="00D63B31"/>
    <w:rsid w:val="00D64DF6"/>
    <w:rsid w:val="00D65A47"/>
    <w:rsid w:val="00D660B5"/>
    <w:rsid w:val="00D674BE"/>
    <w:rsid w:val="00D67784"/>
    <w:rsid w:val="00D67BA0"/>
    <w:rsid w:val="00D70720"/>
    <w:rsid w:val="00D71E91"/>
    <w:rsid w:val="00D71FFC"/>
    <w:rsid w:val="00D73C6E"/>
    <w:rsid w:val="00D74D9F"/>
    <w:rsid w:val="00D75389"/>
    <w:rsid w:val="00D76259"/>
    <w:rsid w:val="00D76428"/>
    <w:rsid w:val="00D76D71"/>
    <w:rsid w:val="00D80428"/>
    <w:rsid w:val="00D831B5"/>
    <w:rsid w:val="00D83B71"/>
    <w:rsid w:val="00D83D67"/>
    <w:rsid w:val="00D83F10"/>
    <w:rsid w:val="00D84685"/>
    <w:rsid w:val="00D85A78"/>
    <w:rsid w:val="00D86C36"/>
    <w:rsid w:val="00D86CF8"/>
    <w:rsid w:val="00D9029F"/>
    <w:rsid w:val="00D90654"/>
    <w:rsid w:val="00D91072"/>
    <w:rsid w:val="00D913BD"/>
    <w:rsid w:val="00D91F3C"/>
    <w:rsid w:val="00D936B2"/>
    <w:rsid w:val="00D967E7"/>
    <w:rsid w:val="00D97775"/>
    <w:rsid w:val="00D9796F"/>
    <w:rsid w:val="00DA079A"/>
    <w:rsid w:val="00DA0A97"/>
    <w:rsid w:val="00DA17E2"/>
    <w:rsid w:val="00DA6005"/>
    <w:rsid w:val="00DB0261"/>
    <w:rsid w:val="00DB15F2"/>
    <w:rsid w:val="00DB1F8B"/>
    <w:rsid w:val="00DB238D"/>
    <w:rsid w:val="00DB3ED6"/>
    <w:rsid w:val="00DB5DD4"/>
    <w:rsid w:val="00DB6ADE"/>
    <w:rsid w:val="00DB7563"/>
    <w:rsid w:val="00DB7609"/>
    <w:rsid w:val="00DC069E"/>
    <w:rsid w:val="00DC0D97"/>
    <w:rsid w:val="00DC1A45"/>
    <w:rsid w:val="00DC2EEC"/>
    <w:rsid w:val="00DC40A4"/>
    <w:rsid w:val="00DC4287"/>
    <w:rsid w:val="00DC5724"/>
    <w:rsid w:val="00DC67CE"/>
    <w:rsid w:val="00DC7196"/>
    <w:rsid w:val="00DD04CD"/>
    <w:rsid w:val="00DD0D94"/>
    <w:rsid w:val="00DD1D39"/>
    <w:rsid w:val="00DD31F5"/>
    <w:rsid w:val="00DD3469"/>
    <w:rsid w:val="00DD34EE"/>
    <w:rsid w:val="00DD3FB7"/>
    <w:rsid w:val="00DD4691"/>
    <w:rsid w:val="00DD5C79"/>
    <w:rsid w:val="00DD6FB6"/>
    <w:rsid w:val="00DE03C8"/>
    <w:rsid w:val="00DE0773"/>
    <w:rsid w:val="00DE0A3E"/>
    <w:rsid w:val="00DE12F8"/>
    <w:rsid w:val="00DE1D4D"/>
    <w:rsid w:val="00DE1F14"/>
    <w:rsid w:val="00DE2D3B"/>
    <w:rsid w:val="00DE3043"/>
    <w:rsid w:val="00DE47C3"/>
    <w:rsid w:val="00DE526C"/>
    <w:rsid w:val="00DE7983"/>
    <w:rsid w:val="00DF17CC"/>
    <w:rsid w:val="00DF3698"/>
    <w:rsid w:val="00DF3C13"/>
    <w:rsid w:val="00DF4778"/>
    <w:rsid w:val="00DF5F9C"/>
    <w:rsid w:val="00DF71F8"/>
    <w:rsid w:val="00DF7946"/>
    <w:rsid w:val="00E001AB"/>
    <w:rsid w:val="00E02265"/>
    <w:rsid w:val="00E02836"/>
    <w:rsid w:val="00E0486E"/>
    <w:rsid w:val="00E048DA"/>
    <w:rsid w:val="00E060C3"/>
    <w:rsid w:val="00E06608"/>
    <w:rsid w:val="00E0711D"/>
    <w:rsid w:val="00E0756F"/>
    <w:rsid w:val="00E07FD3"/>
    <w:rsid w:val="00E10082"/>
    <w:rsid w:val="00E11A49"/>
    <w:rsid w:val="00E126B8"/>
    <w:rsid w:val="00E15B56"/>
    <w:rsid w:val="00E2018F"/>
    <w:rsid w:val="00E20335"/>
    <w:rsid w:val="00E2062A"/>
    <w:rsid w:val="00E2159B"/>
    <w:rsid w:val="00E22B42"/>
    <w:rsid w:val="00E22E2E"/>
    <w:rsid w:val="00E23001"/>
    <w:rsid w:val="00E23BA6"/>
    <w:rsid w:val="00E24AC8"/>
    <w:rsid w:val="00E25087"/>
    <w:rsid w:val="00E2608B"/>
    <w:rsid w:val="00E26649"/>
    <w:rsid w:val="00E272C6"/>
    <w:rsid w:val="00E3165D"/>
    <w:rsid w:val="00E32767"/>
    <w:rsid w:val="00E32E8B"/>
    <w:rsid w:val="00E33DF0"/>
    <w:rsid w:val="00E33DF2"/>
    <w:rsid w:val="00E34E7A"/>
    <w:rsid w:val="00E36EE8"/>
    <w:rsid w:val="00E37EC5"/>
    <w:rsid w:val="00E411CC"/>
    <w:rsid w:val="00E43DF7"/>
    <w:rsid w:val="00E45129"/>
    <w:rsid w:val="00E459C0"/>
    <w:rsid w:val="00E47C29"/>
    <w:rsid w:val="00E47E4C"/>
    <w:rsid w:val="00E51103"/>
    <w:rsid w:val="00E5182D"/>
    <w:rsid w:val="00E51E20"/>
    <w:rsid w:val="00E526CC"/>
    <w:rsid w:val="00E5515C"/>
    <w:rsid w:val="00E55632"/>
    <w:rsid w:val="00E558CE"/>
    <w:rsid w:val="00E562A2"/>
    <w:rsid w:val="00E56911"/>
    <w:rsid w:val="00E573A2"/>
    <w:rsid w:val="00E57464"/>
    <w:rsid w:val="00E575E0"/>
    <w:rsid w:val="00E57691"/>
    <w:rsid w:val="00E57B6C"/>
    <w:rsid w:val="00E607EF"/>
    <w:rsid w:val="00E619C1"/>
    <w:rsid w:val="00E61E5C"/>
    <w:rsid w:val="00E61F30"/>
    <w:rsid w:val="00E62544"/>
    <w:rsid w:val="00E656F0"/>
    <w:rsid w:val="00E65930"/>
    <w:rsid w:val="00E660B4"/>
    <w:rsid w:val="00E70E54"/>
    <w:rsid w:val="00E7178C"/>
    <w:rsid w:val="00E71AF9"/>
    <w:rsid w:val="00E71D90"/>
    <w:rsid w:val="00E74619"/>
    <w:rsid w:val="00E7527E"/>
    <w:rsid w:val="00E75BE7"/>
    <w:rsid w:val="00E75CDD"/>
    <w:rsid w:val="00E75F15"/>
    <w:rsid w:val="00E828B8"/>
    <w:rsid w:val="00E83D97"/>
    <w:rsid w:val="00E8580A"/>
    <w:rsid w:val="00E87E40"/>
    <w:rsid w:val="00E90424"/>
    <w:rsid w:val="00E909FF"/>
    <w:rsid w:val="00E90AC0"/>
    <w:rsid w:val="00E9137E"/>
    <w:rsid w:val="00E947AC"/>
    <w:rsid w:val="00E94967"/>
    <w:rsid w:val="00E95406"/>
    <w:rsid w:val="00E9686C"/>
    <w:rsid w:val="00E97F2C"/>
    <w:rsid w:val="00EA04F9"/>
    <w:rsid w:val="00EA200F"/>
    <w:rsid w:val="00EA2859"/>
    <w:rsid w:val="00EA2955"/>
    <w:rsid w:val="00EA4787"/>
    <w:rsid w:val="00EA66EE"/>
    <w:rsid w:val="00EA7ED7"/>
    <w:rsid w:val="00EB108A"/>
    <w:rsid w:val="00EB1A1F"/>
    <w:rsid w:val="00EB36F6"/>
    <w:rsid w:val="00EB3D78"/>
    <w:rsid w:val="00EC076D"/>
    <w:rsid w:val="00EC0921"/>
    <w:rsid w:val="00EC1272"/>
    <w:rsid w:val="00EC25DB"/>
    <w:rsid w:val="00EC272C"/>
    <w:rsid w:val="00EC2B94"/>
    <w:rsid w:val="00EC406F"/>
    <w:rsid w:val="00EC4B9A"/>
    <w:rsid w:val="00EC5482"/>
    <w:rsid w:val="00EC7A6A"/>
    <w:rsid w:val="00ED1851"/>
    <w:rsid w:val="00ED6059"/>
    <w:rsid w:val="00ED61F0"/>
    <w:rsid w:val="00ED69B9"/>
    <w:rsid w:val="00ED6F50"/>
    <w:rsid w:val="00EE0F98"/>
    <w:rsid w:val="00EE100D"/>
    <w:rsid w:val="00EE1BB0"/>
    <w:rsid w:val="00EE227B"/>
    <w:rsid w:val="00EE351E"/>
    <w:rsid w:val="00EE372C"/>
    <w:rsid w:val="00EE3B35"/>
    <w:rsid w:val="00EE3EC3"/>
    <w:rsid w:val="00EE57DF"/>
    <w:rsid w:val="00EE60A5"/>
    <w:rsid w:val="00EE6212"/>
    <w:rsid w:val="00EE63BF"/>
    <w:rsid w:val="00EF03E1"/>
    <w:rsid w:val="00EF07E4"/>
    <w:rsid w:val="00EF136C"/>
    <w:rsid w:val="00EF314A"/>
    <w:rsid w:val="00EF43EE"/>
    <w:rsid w:val="00EF4BD0"/>
    <w:rsid w:val="00EF4E42"/>
    <w:rsid w:val="00EF5002"/>
    <w:rsid w:val="00EF587C"/>
    <w:rsid w:val="00EF6641"/>
    <w:rsid w:val="00EF75AA"/>
    <w:rsid w:val="00EF7B2F"/>
    <w:rsid w:val="00F00428"/>
    <w:rsid w:val="00F00432"/>
    <w:rsid w:val="00F01090"/>
    <w:rsid w:val="00F02675"/>
    <w:rsid w:val="00F03606"/>
    <w:rsid w:val="00F049FC"/>
    <w:rsid w:val="00F07E78"/>
    <w:rsid w:val="00F10336"/>
    <w:rsid w:val="00F105E9"/>
    <w:rsid w:val="00F11892"/>
    <w:rsid w:val="00F1191D"/>
    <w:rsid w:val="00F11EE2"/>
    <w:rsid w:val="00F12036"/>
    <w:rsid w:val="00F12543"/>
    <w:rsid w:val="00F126B1"/>
    <w:rsid w:val="00F139DB"/>
    <w:rsid w:val="00F14246"/>
    <w:rsid w:val="00F15635"/>
    <w:rsid w:val="00F177F0"/>
    <w:rsid w:val="00F17F36"/>
    <w:rsid w:val="00F20489"/>
    <w:rsid w:val="00F21E2C"/>
    <w:rsid w:val="00F21EB9"/>
    <w:rsid w:val="00F22B2D"/>
    <w:rsid w:val="00F23F9B"/>
    <w:rsid w:val="00F24436"/>
    <w:rsid w:val="00F2450A"/>
    <w:rsid w:val="00F25BF8"/>
    <w:rsid w:val="00F26B02"/>
    <w:rsid w:val="00F27C10"/>
    <w:rsid w:val="00F30C96"/>
    <w:rsid w:val="00F3153C"/>
    <w:rsid w:val="00F32C90"/>
    <w:rsid w:val="00F334E1"/>
    <w:rsid w:val="00F340EF"/>
    <w:rsid w:val="00F34346"/>
    <w:rsid w:val="00F3469E"/>
    <w:rsid w:val="00F3523A"/>
    <w:rsid w:val="00F3547E"/>
    <w:rsid w:val="00F36E5D"/>
    <w:rsid w:val="00F37F52"/>
    <w:rsid w:val="00F4057D"/>
    <w:rsid w:val="00F4189A"/>
    <w:rsid w:val="00F41E6A"/>
    <w:rsid w:val="00F42252"/>
    <w:rsid w:val="00F43993"/>
    <w:rsid w:val="00F444A5"/>
    <w:rsid w:val="00F4464C"/>
    <w:rsid w:val="00F44BC5"/>
    <w:rsid w:val="00F44E70"/>
    <w:rsid w:val="00F45C54"/>
    <w:rsid w:val="00F464D6"/>
    <w:rsid w:val="00F4774B"/>
    <w:rsid w:val="00F51EBD"/>
    <w:rsid w:val="00F52F83"/>
    <w:rsid w:val="00F53D5A"/>
    <w:rsid w:val="00F540A9"/>
    <w:rsid w:val="00F55E90"/>
    <w:rsid w:val="00F57495"/>
    <w:rsid w:val="00F577BC"/>
    <w:rsid w:val="00F57C5B"/>
    <w:rsid w:val="00F57F1D"/>
    <w:rsid w:val="00F60728"/>
    <w:rsid w:val="00F60A91"/>
    <w:rsid w:val="00F61D3C"/>
    <w:rsid w:val="00F61ED9"/>
    <w:rsid w:val="00F61F7D"/>
    <w:rsid w:val="00F63C2A"/>
    <w:rsid w:val="00F64D54"/>
    <w:rsid w:val="00F66F42"/>
    <w:rsid w:val="00F6744D"/>
    <w:rsid w:val="00F67554"/>
    <w:rsid w:val="00F70417"/>
    <w:rsid w:val="00F7107B"/>
    <w:rsid w:val="00F72384"/>
    <w:rsid w:val="00F73536"/>
    <w:rsid w:val="00F73BD9"/>
    <w:rsid w:val="00F74106"/>
    <w:rsid w:val="00F762CC"/>
    <w:rsid w:val="00F76B75"/>
    <w:rsid w:val="00F76D65"/>
    <w:rsid w:val="00F77116"/>
    <w:rsid w:val="00F804E7"/>
    <w:rsid w:val="00F80FEC"/>
    <w:rsid w:val="00F81902"/>
    <w:rsid w:val="00F82AB1"/>
    <w:rsid w:val="00F830A0"/>
    <w:rsid w:val="00F92C55"/>
    <w:rsid w:val="00F93470"/>
    <w:rsid w:val="00F93701"/>
    <w:rsid w:val="00F949C5"/>
    <w:rsid w:val="00F9624E"/>
    <w:rsid w:val="00F96670"/>
    <w:rsid w:val="00F96E0F"/>
    <w:rsid w:val="00F97606"/>
    <w:rsid w:val="00FA10F3"/>
    <w:rsid w:val="00FA111D"/>
    <w:rsid w:val="00FA152B"/>
    <w:rsid w:val="00FA2CC4"/>
    <w:rsid w:val="00FA6A6A"/>
    <w:rsid w:val="00FA6A84"/>
    <w:rsid w:val="00FA6A98"/>
    <w:rsid w:val="00FA6F41"/>
    <w:rsid w:val="00FA7D4E"/>
    <w:rsid w:val="00FB1B86"/>
    <w:rsid w:val="00FB2C06"/>
    <w:rsid w:val="00FB2F42"/>
    <w:rsid w:val="00FB43EC"/>
    <w:rsid w:val="00FB5225"/>
    <w:rsid w:val="00FB560A"/>
    <w:rsid w:val="00FB6C52"/>
    <w:rsid w:val="00FB7ECD"/>
    <w:rsid w:val="00FC12E3"/>
    <w:rsid w:val="00FC1508"/>
    <w:rsid w:val="00FC28AE"/>
    <w:rsid w:val="00FC3D9B"/>
    <w:rsid w:val="00FC68F8"/>
    <w:rsid w:val="00FD0CB4"/>
    <w:rsid w:val="00FD17F9"/>
    <w:rsid w:val="00FD31E6"/>
    <w:rsid w:val="00FD62A0"/>
    <w:rsid w:val="00FD6391"/>
    <w:rsid w:val="00FD6DAF"/>
    <w:rsid w:val="00FE02B1"/>
    <w:rsid w:val="00FE0777"/>
    <w:rsid w:val="00FE0843"/>
    <w:rsid w:val="00FE0A00"/>
    <w:rsid w:val="00FE1C71"/>
    <w:rsid w:val="00FE2B74"/>
    <w:rsid w:val="00FE2BF5"/>
    <w:rsid w:val="00FE2CB8"/>
    <w:rsid w:val="00FE3B9D"/>
    <w:rsid w:val="00FE534B"/>
    <w:rsid w:val="00FE549C"/>
    <w:rsid w:val="00FE563C"/>
    <w:rsid w:val="00FE5B2E"/>
    <w:rsid w:val="00FE5E93"/>
    <w:rsid w:val="00FE5FE6"/>
    <w:rsid w:val="00FE7059"/>
    <w:rsid w:val="00FE7598"/>
    <w:rsid w:val="00FE7ECC"/>
    <w:rsid w:val="00FF0690"/>
    <w:rsid w:val="00FF0C3C"/>
    <w:rsid w:val="00FF2903"/>
    <w:rsid w:val="00FF399A"/>
    <w:rsid w:val="00FF4105"/>
    <w:rsid w:val="00FF4EE8"/>
    <w:rsid w:val="00FF5437"/>
    <w:rsid w:val="00FF69C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6">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2CB8"/>
    <w:pPr>
      <w:overflowPunct w:val="0"/>
      <w:autoSpaceDE w:val="0"/>
      <w:autoSpaceDN w:val="0"/>
      <w:adjustRightInd w:val="0"/>
      <w:textAlignment w:val="baseline"/>
    </w:pPr>
  </w:style>
  <w:style w:type="paragraph" w:styleId="Heading1">
    <w:name w:val="heading 1"/>
    <w:basedOn w:val="Normal"/>
    <w:next w:val="Normal"/>
    <w:link w:val="Heading1Char"/>
    <w:uiPriority w:val="9"/>
    <w:qFormat/>
    <w:rsid w:val="00FE2CB8"/>
    <w:pPr>
      <w:keepNext/>
      <w:overflowPunct/>
      <w:adjustRightInd/>
      <w:textAlignment w:val="auto"/>
      <w:outlineLvl w:val="0"/>
    </w:pPr>
    <w:rPr>
      <w:b/>
      <w:bCs/>
      <w:sz w:val="32"/>
      <w:szCs w:val="24"/>
    </w:rPr>
  </w:style>
  <w:style w:type="paragraph" w:styleId="Heading2">
    <w:name w:val="heading 2"/>
    <w:basedOn w:val="Normal"/>
    <w:next w:val="Normal"/>
    <w:link w:val="Heading2Char"/>
    <w:uiPriority w:val="9"/>
    <w:qFormat/>
    <w:rsid w:val="00FE2CB8"/>
    <w:pPr>
      <w:keepNext/>
      <w:overflowPunct/>
      <w:autoSpaceDE/>
      <w:autoSpaceDN/>
      <w:adjustRightInd/>
      <w:ind w:left="162"/>
      <w:jc w:val="center"/>
      <w:textAlignment w:val="auto"/>
      <w:outlineLvl w:val="1"/>
    </w:pPr>
    <w:rPr>
      <w:rFonts w:cs="Traditional Arabic"/>
      <w:b/>
      <w:bCs/>
      <w:noProof/>
      <w:sz w:val="18"/>
      <w:szCs w:val="21"/>
    </w:rPr>
  </w:style>
  <w:style w:type="paragraph" w:styleId="Heading3">
    <w:name w:val="heading 3"/>
    <w:basedOn w:val="Normal"/>
    <w:next w:val="Normal"/>
    <w:link w:val="Heading3Char"/>
    <w:uiPriority w:val="9"/>
    <w:qFormat/>
    <w:rsid w:val="00FE2CB8"/>
    <w:pPr>
      <w:keepNext/>
      <w:outlineLvl w:val="2"/>
    </w:pPr>
    <w:rPr>
      <w:rFonts w:cs="Traditional Arabic"/>
      <w:b/>
      <w:bCs/>
      <w:sz w:val="24"/>
      <w:szCs w:val="24"/>
    </w:rPr>
  </w:style>
  <w:style w:type="paragraph" w:styleId="Heading4">
    <w:name w:val="heading 4"/>
    <w:basedOn w:val="Normal"/>
    <w:next w:val="Normal"/>
    <w:link w:val="Heading4Char"/>
    <w:uiPriority w:val="9"/>
    <w:qFormat/>
    <w:rsid w:val="00FE2CB8"/>
    <w:pPr>
      <w:keepNext/>
      <w:outlineLvl w:val="3"/>
    </w:pPr>
    <w:rPr>
      <w:b/>
      <w:bCs/>
    </w:rPr>
  </w:style>
  <w:style w:type="paragraph" w:styleId="Heading5">
    <w:name w:val="heading 5"/>
    <w:basedOn w:val="Normal"/>
    <w:next w:val="Normal"/>
    <w:link w:val="Heading5Char"/>
    <w:uiPriority w:val="9"/>
    <w:qFormat/>
    <w:rsid w:val="00FE2CB8"/>
    <w:pPr>
      <w:keepNext/>
      <w:overflowPunct/>
      <w:autoSpaceDE/>
      <w:autoSpaceDN/>
      <w:adjustRightInd/>
      <w:jc w:val="center"/>
      <w:textAlignment w:val="auto"/>
      <w:outlineLvl w:val="4"/>
    </w:pPr>
    <w:rPr>
      <w:rFonts w:cs="Traditional Arabic"/>
      <w:b/>
      <w:bCs/>
      <w:noProof/>
      <w:sz w:val="28"/>
      <w:szCs w:val="33"/>
    </w:rPr>
  </w:style>
  <w:style w:type="paragraph" w:styleId="Heading6">
    <w:name w:val="heading 6"/>
    <w:basedOn w:val="Normal"/>
    <w:next w:val="Normal"/>
    <w:link w:val="Heading6Char"/>
    <w:uiPriority w:val="9"/>
    <w:qFormat/>
    <w:rsid w:val="00FE2CB8"/>
    <w:pPr>
      <w:keepNext/>
      <w:overflowPunct/>
      <w:autoSpaceDE/>
      <w:autoSpaceDN/>
      <w:bidi/>
      <w:adjustRightInd/>
      <w:ind w:right="176"/>
      <w:jc w:val="right"/>
      <w:textAlignment w:val="auto"/>
      <w:outlineLvl w:val="5"/>
    </w:pPr>
    <w:rPr>
      <w:rFonts w:cs="Traditional Arabic"/>
      <w:b/>
      <w:bCs/>
      <w:noProof/>
      <w:sz w:val="18"/>
      <w:szCs w:val="21"/>
    </w:rPr>
  </w:style>
  <w:style w:type="paragraph" w:styleId="Heading7">
    <w:name w:val="heading 7"/>
    <w:basedOn w:val="Normal"/>
    <w:next w:val="Normal"/>
    <w:link w:val="Heading7Char"/>
    <w:uiPriority w:val="9"/>
    <w:qFormat/>
    <w:rsid w:val="00FE2CB8"/>
    <w:pPr>
      <w:keepNext/>
      <w:overflowPunct/>
      <w:autoSpaceDE/>
      <w:autoSpaceDN/>
      <w:adjustRightInd/>
      <w:textAlignment w:val="auto"/>
      <w:outlineLvl w:val="6"/>
    </w:pPr>
    <w:rPr>
      <w:rFonts w:cs="Traditional Arabic"/>
      <w:b/>
      <w:bCs/>
      <w:noProof/>
      <w:sz w:val="18"/>
      <w:szCs w:val="21"/>
    </w:rPr>
  </w:style>
  <w:style w:type="paragraph" w:styleId="Heading9">
    <w:name w:val="heading 9"/>
    <w:basedOn w:val="Normal"/>
    <w:next w:val="Normal"/>
    <w:link w:val="Heading9Char"/>
    <w:uiPriority w:val="9"/>
    <w:semiHidden/>
    <w:unhideWhenUsed/>
    <w:qFormat/>
    <w:rsid w:val="001F2744"/>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B4532E"/>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locked/>
    <w:rsid w:val="00B4532E"/>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locked/>
    <w:rsid w:val="00B4532E"/>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locked/>
    <w:rsid w:val="00B4532E"/>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locked/>
    <w:rsid w:val="00B4532E"/>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locked/>
    <w:rsid w:val="00B4532E"/>
    <w:rPr>
      <w:rFonts w:asciiTheme="minorHAnsi" w:eastAsiaTheme="minorEastAsia" w:hAnsiTheme="minorHAnsi" w:cstheme="minorBidi"/>
      <w:b/>
      <w:bCs/>
      <w:sz w:val="22"/>
      <w:szCs w:val="22"/>
    </w:rPr>
  </w:style>
  <w:style w:type="character" w:customStyle="1" w:styleId="Heading7Char">
    <w:name w:val="Heading 7 Char"/>
    <w:basedOn w:val="DefaultParagraphFont"/>
    <w:link w:val="Heading7"/>
    <w:uiPriority w:val="9"/>
    <w:semiHidden/>
    <w:locked/>
    <w:rsid w:val="00B4532E"/>
    <w:rPr>
      <w:rFonts w:asciiTheme="minorHAnsi" w:eastAsiaTheme="minorEastAsia" w:hAnsiTheme="minorHAnsi" w:cstheme="minorBidi"/>
      <w:sz w:val="24"/>
      <w:szCs w:val="24"/>
    </w:rPr>
  </w:style>
  <w:style w:type="character" w:customStyle="1" w:styleId="Heading9Char">
    <w:name w:val="Heading 9 Char"/>
    <w:basedOn w:val="DefaultParagraphFont"/>
    <w:link w:val="Heading9"/>
    <w:uiPriority w:val="9"/>
    <w:semiHidden/>
    <w:locked/>
    <w:rsid w:val="001F2744"/>
    <w:rPr>
      <w:rFonts w:ascii="Cambria" w:hAnsi="Cambria" w:cs="Times New Roman"/>
      <w:sz w:val="22"/>
      <w:szCs w:val="22"/>
    </w:rPr>
  </w:style>
  <w:style w:type="paragraph" w:styleId="Header">
    <w:name w:val="header"/>
    <w:basedOn w:val="Normal"/>
    <w:link w:val="HeaderChar"/>
    <w:uiPriority w:val="99"/>
    <w:rsid w:val="00FE2CB8"/>
    <w:pPr>
      <w:tabs>
        <w:tab w:val="center" w:pos="4153"/>
        <w:tab w:val="right" w:pos="8306"/>
      </w:tabs>
    </w:pPr>
  </w:style>
  <w:style w:type="character" w:customStyle="1" w:styleId="HeaderChar">
    <w:name w:val="Header Char"/>
    <w:basedOn w:val="DefaultParagraphFont"/>
    <w:link w:val="Header"/>
    <w:uiPriority w:val="99"/>
    <w:locked/>
    <w:rsid w:val="00B5698C"/>
    <w:rPr>
      <w:rFonts w:cs="Times New Roman"/>
    </w:rPr>
  </w:style>
  <w:style w:type="paragraph" w:styleId="Footer">
    <w:name w:val="footer"/>
    <w:basedOn w:val="Normal"/>
    <w:link w:val="FooterChar"/>
    <w:uiPriority w:val="99"/>
    <w:rsid w:val="00FE2CB8"/>
    <w:pPr>
      <w:tabs>
        <w:tab w:val="center" w:pos="4153"/>
        <w:tab w:val="right" w:pos="8306"/>
      </w:tabs>
    </w:pPr>
  </w:style>
  <w:style w:type="character" w:customStyle="1" w:styleId="FooterChar">
    <w:name w:val="Footer Char"/>
    <w:basedOn w:val="DefaultParagraphFont"/>
    <w:link w:val="Footer"/>
    <w:uiPriority w:val="99"/>
    <w:locked/>
    <w:rsid w:val="00940590"/>
    <w:rPr>
      <w:rFonts w:cs="Times New Roman"/>
    </w:rPr>
  </w:style>
  <w:style w:type="paragraph" w:styleId="Title">
    <w:name w:val="Title"/>
    <w:basedOn w:val="Normal"/>
    <w:link w:val="TitleChar"/>
    <w:uiPriority w:val="10"/>
    <w:qFormat/>
    <w:rsid w:val="00FE2CB8"/>
    <w:pPr>
      <w:overflowPunct/>
      <w:autoSpaceDE/>
      <w:autoSpaceDN/>
      <w:bidi/>
      <w:adjustRightInd/>
      <w:jc w:val="center"/>
      <w:textAlignment w:val="auto"/>
    </w:pPr>
    <w:rPr>
      <w:rFonts w:cs="Simplified Arabic"/>
      <w:b/>
      <w:bCs/>
      <w:noProof/>
      <w:sz w:val="24"/>
      <w:szCs w:val="28"/>
    </w:rPr>
  </w:style>
  <w:style w:type="character" w:customStyle="1" w:styleId="TitleChar">
    <w:name w:val="Title Char"/>
    <w:basedOn w:val="DefaultParagraphFont"/>
    <w:link w:val="Title"/>
    <w:uiPriority w:val="10"/>
    <w:locked/>
    <w:rsid w:val="008625AF"/>
    <w:rPr>
      <w:rFonts w:cs="Simplified Arabic"/>
      <w:b/>
      <w:bCs/>
      <w:noProof/>
      <w:sz w:val="28"/>
      <w:szCs w:val="28"/>
    </w:rPr>
  </w:style>
  <w:style w:type="paragraph" w:customStyle="1" w:styleId="H1">
    <w:name w:val="H1"/>
    <w:basedOn w:val="Normal"/>
    <w:next w:val="Normal"/>
    <w:rsid w:val="00FE2CB8"/>
    <w:pPr>
      <w:keepNext/>
      <w:overflowPunct/>
      <w:adjustRightInd/>
      <w:spacing w:before="100" w:after="100"/>
      <w:textAlignment w:val="auto"/>
      <w:outlineLvl w:val="1"/>
    </w:pPr>
    <w:rPr>
      <w:b/>
      <w:bCs/>
      <w:kern w:val="36"/>
      <w:sz w:val="48"/>
      <w:szCs w:val="48"/>
    </w:rPr>
  </w:style>
  <w:style w:type="paragraph" w:styleId="Subtitle">
    <w:name w:val="Subtitle"/>
    <w:basedOn w:val="Normal"/>
    <w:link w:val="SubtitleChar"/>
    <w:uiPriority w:val="11"/>
    <w:qFormat/>
    <w:rsid w:val="00FE2CB8"/>
    <w:pPr>
      <w:ind w:left="135"/>
      <w:jc w:val="center"/>
    </w:pPr>
    <w:rPr>
      <w:rFonts w:cs="Traditional Arabic"/>
      <w:b/>
      <w:bCs/>
      <w:sz w:val="28"/>
      <w:szCs w:val="28"/>
    </w:rPr>
  </w:style>
  <w:style w:type="character" w:customStyle="1" w:styleId="SubtitleChar">
    <w:name w:val="Subtitle Char"/>
    <w:basedOn w:val="DefaultParagraphFont"/>
    <w:link w:val="Subtitle"/>
    <w:uiPriority w:val="11"/>
    <w:locked/>
    <w:rsid w:val="00B4532E"/>
    <w:rPr>
      <w:rFonts w:asciiTheme="majorHAnsi" w:eastAsiaTheme="majorEastAsia" w:hAnsiTheme="majorHAnsi" w:cstheme="majorBidi"/>
      <w:sz w:val="24"/>
      <w:szCs w:val="24"/>
    </w:rPr>
  </w:style>
  <w:style w:type="paragraph" w:styleId="BodyText">
    <w:name w:val="Body Text"/>
    <w:basedOn w:val="Normal"/>
    <w:link w:val="BodyTextChar"/>
    <w:uiPriority w:val="99"/>
    <w:semiHidden/>
    <w:rsid w:val="00FE2CB8"/>
    <w:pPr>
      <w:jc w:val="both"/>
    </w:pPr>
    <w:rPr>
      <w:rFonts w:cs="Traditional Arabic"/>
    </w:rPr>
  </w:style>
  <w:style w:type="character" w:customStyle="1" w:styleId="BodyTextChar">
    <w:name w:val="Body Text Char"/>
    <w:basedOn w:val="DefaultParagraphFont"/>
    <w:link w:val="BodyText"/>
    <w:uiPriority w:val="99"/>
    <w:semiHidden/>
    <w:locked/>
    <w:rsid w:val="00DC4287"/>
    <w:rPr>
      <w:rFonts w:cs="Traditional Arabic"/>
    </w:rPr>
  </w:style>
  <w:style w:type="character" w:styleId="PageNumber">
    <w:name w:val="page number"/>
    <w:basedOn w:val="DefaultParagraphFont"/>
    <w:uiPriority w:val="99"/>
    <w:semiHidden/>
    <w:rsid w:val="00FE2CB8"/>
    <w:rPr>
      <w:rFonts w:cs="Times New Roman"/>
    </w:rPr>
  </w:style>
  <w:style w:type="paragraph" w:styleId="BodyText2">
    <w:name w:val="Body Text 2"/>
    <w:basedOn w:val="Normal"/>
    <w:link w:val="BodyText2Char"/>
    <w:uiPriority w:val="99"/>
    <w:semiHidden/>
    <w:rsid w:val="00FE2CB8"/>
    <w:pPr>
      <w:jc w:val="lowKashida"/>
    </w:pPr>
  </w:style>
  <w:style w:type="character" w:customStyle="1" w:styleId="BodyText2Char">
    <w:name w:val="Body Text 2 Char"/>
    <w:basedOn w:val="DefaultParagraphFont"/>
    <w:link w:val="BodyText2"/>
    <w:uiPriority w:val="99"/>
    <w:semiHidden/>
    <w:locked/>
    <w:rsid w:val="008625AF"/>
    <w:rPr>
      <w:rFonts w:cs="Times New Roman"/>
    </w:rPr>
  </w:style>
  <w:style w:type="paragraph" w:styleId="BodyText3">
    <w:name w:val="Body Text 3"/>
    <w:basedOn w:val="Normal"/>
    <w:link w:val="BodyText3Char"/>
    <w:uiPriority w:val="99"/>
    <w:semiHidden/>
    <w:rsid w:val="00FE2CB8"/>
    <w:pPr>
      <w:jc w:val="both"/>
    </w:pPr>
    <w:rPr>
      <w:rFonts w:cs="Traditional Arabic"/>
      <w:b/>
      <w:bCs/>
    </w:rPr>
  </w:style>
  <w:style w:type="character" w:customStyle="1" w:styleId="BodyText3Char">
    <w:name w:val="Body Text 3 Char"/>
    <w:basedOn w:val="DefaultParagraphFont"/>
    <w:link w:val="BodyText3"/>
    <w:uiPriority w:val="99"/>
    <w:semiHidden/>
    <w:locked/>
    <w:rsid w:val="000D23AB"/>
    <w:rPr>
      <w:rFonts w:cs="Traditional Arabic"/>
      <w:b/>
      <w:bCs/>
    </w:rPr>
  </w:style>
  <w:style w:type="paragraph" w:styleId="BodyTextIndent">
    <w:name w:val="Body Text Indent"/>
    <w:basedOn w:val="Normal"/>
    <w:link w:val="BodyTextIndentChar"/>
    <w:uiPriority w:val="99"/>
    <w:semiHidden/>
    <w:rsid w:val="00FE2CB8"/>
    <w:pPr>
      <w:overflowPunct/>
      <w:autoSpaceDE/>
      <w:autoSpaceDN/>
      <w:adjustRightInd/>
      <w:ind w:left="714" w:hanging="357"/>
      <w:jc w:val="lowKashida"/>
      <w:textAlignment w:val="auto"/>
    </w:pPr>
    <w:rPr>
      <w:sz w:val="24"/>
      <w:szCs w:val="24"/>
    </w:rPr>
  </w:style>
  <w:style w:type="character" w:customStyle="1" w:styleId="BodyTextIndentChar">
    <w:name w:val="Body Text Indent Char"/>
    <w:basedOn w:val="DefaultParagraphFont"/>
    <w:link w:val="BodyTextIndent"/>
    <w:uiPriority w:val="99"/>
    <w:semiHidden/>
    <w:locked/>
    <w:rsid w:val="00B4532E"/>
    <w:rPr>
      <w:rFonts w:cs="Times New Roman"/>
    </w:rPr>
  </w:style>
  <w:style w:type="paragraph" w:styleId="BodyTextIndent2">
    <w:name w:val="Body Text Indent 2"/>
    <w:basedOn w:val="Normal"/>
    <w:link w:val="BodyTextIndent2Char"/>
    <w:uiPriority w:val="99"/>
    <w:semiHidden/>
    <w:rsid w:val="00FE2CB8"/>
    <w:pPr>
      <w:ind w:left="44"/>
    </w:pPr>
  </w:style>
  <w:style w:type="character" w:customStyle="1" w:styleId="BodyTextIndent2Char">
    <w:name w:val="Body Text Indent 2 Char"/>
    <w:basedOn w:val="DefaultParagraphFont"/>
    <w:link w:val="BodyTextIndent2"/>
    <w:uiPriority w:val="99"/>
    <w:semiHidden/>
    <w:locked/>
    <w:rsid w:val="00B4532E"/>
    <w:rPr>
      <w:rFonts w:cs="Times New Roman"/>
    </w:rPr>
  </w:style>
  <w:style w:type="paragraph" w:styleId="BodyTextIndent3">
    <w:name w:val="Body Text Indent 3"/>
    <w:basedOn w:val="Normal"/>
    <w:link w:val="BodyTextIndent3Char"/>
    <w:uiPriority w:val="99"/>
    <w:semiHidden/>
    <w:rsid w:val="00FE2CB8"/>
    <w:pPr>
      <w:ind w:left="44"/>
      <w:jc w:val="lowKashida"/>
    </w:pPr>
    <w:rPr>
      <w:color w:val="000000"/>
    </w:rPr>
  </w:style>
  <w:style w:type="character" w:customStyle="1" w:styleId="BodyTextIndent3Char">
    <w:name w:val="Body Text Indent 3 Char"/>
    <w:basedOn w:val="DefaultParagraphFont"/>
    <w:link w:val="BodyTextIndent3"/>
    <w:uiPriority w:val="99"/>
    <w:semiHidden/>
    <w:locked/>
    <w:rsid w:val="00B4532E"/>
    <w:rPr>
      <w:rFonts w:cs="Times New Roman"/>
      <w:sz w:val="16"/>
      <w:szCs w:val="16"/>
    </w:rPr>
  </w:style>
  <w:style w:type="paragraph" w:styleId="BlockText">
    <w:name w:val="Block Text"/>
    <w:basedOn w:val="Normal"/>
    <w:uiPriority w:val="99"/>
    <w:semiHidden/>
    <w:rsid w:val="001F2744"/>
    <w:pPr>
      <w:spacing w:after="120"/>
      <w:ind w:left="1440" w:right="1440"/>
    </w:pPr>
  </w:style>
  <w:style w:type="paragraph" w:styleId="CommentText">
    <w:name w:val="annotation text"/>
    <w:basedOn w:val="Normal"/>
    <w:link w:val="CommentTextChar"/>
    <w:uiPriority w:val="99"/>
    <w:semiHidden/>
    <w:rsid w:val="001F2744"/>
  </w:style>
  <w:style w:type="character" w:customStyle="1" w:styleId="CommentTextChar">
    <w:name w:val="Comment Text Char"/>
    <w:basedOn w:val="DefaultParagraphFont"/>
    <w:link w:val="CommentText"/>
    <w:uiPriority w:val="99"/>
    <w:semiHidden/>
    <w:locked/>
    <w:rsid w:val="001F2744"/>
    <w:rPr>
      <w:rFonts w:cs="Times New Roman"/>
    </w:rPr>
  </w:style>
  <w:style w:type="paragraph" w:styleId="Index1">
    <w:name w:val="index 1"/>
    <w:basedOn w:val="Normal"/>
    <w:next w:val="Normal"/>
    <w:autoRedefine/>
    <w:uiPriority w:val="99"/>
    <w:semiHidden/>
    <w:unhideWhenUsed/>
    <w:rsid w:val="001F2744"/>
    <w:pPr>
      <w:ind w:left="200" w:hanging="200"/>
    </w:pPr>
  </w:style>
  <w:style w:type="paragraph" w:styleId="IndexHeading">
    <w:name w:val="index heading"/>
    <w:basedOn w:val="Normal"/>
    <w:next w:val="Index1"/>
    <w:uiPriority w:val="99"/>
    <w:semiHidden/>
    <w:rsid w:val="001F2744"/>
    <w:rPr>
      <w:rFonts w:ascii="Arial" w:hAnsi="Arial" w:cs="Arial"/>
      <w:b/>
      <w:bCs/>
    </w:rPr>
  </w:style>
  <w:style w:type="paragraph" w:styleId="ListParagraph">
    <w:name w:val="List Paragraph"/>
    <w:basedOn w:val="Normal"/>
    <w:uiPriority w:val="34"/>
    <w:qFormat/>
    <w:rsid w:val="001C78D5"/>
    <w:pPr>
      <w:overflowPunct/>
      <w:autoSpaceDE/>
      <w:autoSpaceDN/>
      <w:bidi/>
      <w:adjustRightInd/>
      <w:ind w:left="720"/>
      <w:textAlignment w:val="auto"/>
    </w:pPr>
    <w:rPr>
      <w:rFonts w:cs="Simplified Arabic"/>
      <w:noProof/>
      <w:sz w:val="24"/>
    </w:rPr>
  </w:style>
  <w:style w:type="paragraph" w:styleId="BalloonText">
    <w:name w:val="Balloon Text"/>
    <w:basedOn w:val="Normal"/>
    <w:link w:val="BalloonTextChar"/>
    <w:uiPriority w:val="99"/>
    <w:semiHidden/>
    <w:unhideWhenUsed/>
    <w:rsid w:val="003E58F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E58F6"/>
    <w:rPr>
      <w:rFonts w:ascii="Tahoma" w:hAnsi="Tahoma" w:cs="Tahoma"/>
      <w:sz w:val="16"/>
      <w:szCs w:val="16"/>
      <w:lang w:val="en-US" w:eastAsia="en-US"/>
    </w:rPr>
  </w:style>
  <w:style w:type="paragraph" w:styleId="Revision">
    <w:name w:val="Revision"/>
    <w:hidden/>
    <w:uiPriority w:val="99"/>
    <w:semiHidden/>
    <w:rsid w:val="00F93470"/>
  </w:style>
  <w:style w:type="character" w:customStyle="1" w:styleId="hps">
    <w:name w:val="hps"/>
    <w:basedOn w:val="DefaultParagraphFont"/>
    <w:rsid w:val="004F26B2"/>
    <w:rPr>
      <w:rFonts w:cs="Times New Roman"/>
    </w:rPr>
  </w:style>
  <w:style w:type="character" w:customStyle="1" w:styleId="shorttext">
    <w:name w:val="short_text"/>
    <w:basedOn w:val="DefaultParagraphFont"/>
    <w:rsid w:val="00BD329D"/>
    <w:rPr>
      <w:rFonts w:cs="Times New Roman"/>
    </w:rPr>
  </w:style>
  <w:style w:type="character" w:customStyle="1" w:styleId="atn">
    <w:name w:val="atn"/>
    <w:basedOn w:val="DefaultParagraphFont"/>
    <w:rsid w:val="006A3BB8"/>
    <w:rPr>
      <w:rFonts w:cs="Times New Roman"/>
    </w:rPr>
  </w:style>
  <w:style w:type="paragraph" w:customStyle="1" w:styleId="xl23">
    <w:name w:val="xl23"/>
    <w:basedOn w:val="Normal"/>
    <w:rsid w:val="00981761"/>
    <w:pPr>
      <w:overflowPunct/>
      <w:autoSpaceDE/>
      <w:autoSpaceDN/>
      <w:adjustRightInd/>
      <w:spacing w:before="100" w:beforeAutospacing="1" w:after="100" w:afterAutospacing="1"/>
      <w:jc w:val="both"/>
      <w:textAlignment w:val="top"/>
    </w:pPr>
    <w:rPr>
      <w:rFonts w:eastAsia="Arial Unicode MS" w:cs="Arial Unicode MS"/>
      <w:sz w:val="24"/>
      <w:szCs w:val="24"/>
      <w:lang w:eastAsia="ar-SA"/>
    </w:rPr>
  </w:style>
  <w:style w:type="paragraph" w:styleId="FootnoteText">
    <w:name w:val="footnote text"/>
    <w:basedOn w:val="Normal"/>
    <w:link w:val="FootnoteTextChar"/>
    <w:uiPriority w:val="99"/>
    <w:semiHidden/>
    <w:rsid w:val="00750558"/>
    <w:pPr>
      <w:overflowPunct/>
      <w:autoSpaceDE/>
      <w:autoSpaceDN/>
      <w:adjustRightInd/>
      <w:textAlignment w:val="auto"/>
    </w:pPr>
    <w:rPr>
      <w:rFonts w:cs="Traditional Arabic"/>
      <w:noProof/>
      <w:szCs w:val="24"/>
      <w:lang w:eastAsia="ar-SA"/>
    </w:rPr>
  </w:style>
  <w:style w:type="character" w:customStyle="1" w:styleId="FootnoteTextChar">
    <w:name w:val="Footnote Text Char"/>
    <w:basedOn w:val="DefaultParagraphFont"/>
    <w:link w:val="FootnoteText"/>
    <w:uiPriority w:val="99"/>
    <w:semiHidden/>
    <w:locked/>
    <w:rsid w:val="00750558"/>
    <w:rPr>
      <w:rFonts w:cs="Traditional Arabic"/>
      <w:noProof/>
      <w:sz w:val="24"/>
      <w:szCs w:val="24"/>
      <w:lang w:eastAsia="ar-SA"/>
    </w:rPr>
  </w:style>
  <w:style w:type="character" w:styleId="FootnoteReference">
    <w:name w:val="footnote reference"/>
    <w:basedOn w:val="DefaultParagraphFont"/>
    <w:uiPriority w:val="99"/>
    <w:semiHidden/>
    <w:rsid w:val="00750558"/>
    <w:rPr>
      <w:rFonts w:cs="Times New Roman"/>
      <w:vertAlign w:val="superscript"/>
    </w:rPr>
  </w:style>
  <w:style w:type="table" w:styleId="TableGrid">
    <w:name w:val="Table Grid"/>
    <w:basedOn w:val="TableNormal"/>
    <w:uiPriority w:val="59"/>
    <w:rsid w:val="00195ED8"/>
    <w:rPr>
      <w:rFonts w:cs="Traditional Arab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B93D80"/>
    <w:rPr>
      <w:sz w:val="16"/>
      <w:szCs w:val="16"/>
    </w:rPr>
  </w:style>
  <w:style w:type="paragraph" w:styleId="CommentSubject">
    <w:name w:val="annotation subject"/>
    <w:basedOn w:val="CommentText"/>
    <w:next w:val="CommentText"/>
    <w:link w:val="CommentSubjectChar"/>
    <w:uiPriority w:val="99"/>
    <w:semiHidden/>
    <w:unhideWhenUsed/>
    <w:rsid w:val="00B93D80"/>
    <w:rPr>
      <w:b/>
      <w:bCs/>
    </w:rPr>
  </w:style>
  <w:style w:type="character" w:customStyle="1" w:styleId="CommentSubjectChar">
    <w:name w:val="Comment Subject Char"/>
    <w:basedOn w:val="CommentTextChar"/>
    <w:link w:val="CommentSubject"/>
    <w:uiPriority w:val="99"/>
    <w:semiHidden/>
    <w:rsid w:val="00B93D80"/>
    <w:rPr>
      <w:rFonts w:cs="Times New Roman"/>
      <w:b/>
      <w:bCs/>
    </w:rPr>
  </w:style>
  <w:style w:type="character" w:customStyle="1" w:styleId="tlid-translation">
    <w:name w:val="tlid-translation"/>
    <w:basedOn w:val="DefaultParagraphFont"/>
    <w:rsid w:val="0011282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54614592">
      <w:bodyDiv w:val="1"/>
      <w:marLeft w:val="0"/>
      <w:marRight w:val="0"/>
      <w:marTop w:val="0"/>
      <w:marBottom w:val="0"/>
      <w:divBdr>
        <w:top w:val="none" w:sz="0" w:space="0" w:color="auto"/>
        <w:left w:val="none" w:sz="0" w:space="0" w:color="auto"/>
        <w:bottom w:val="none" w:sz="0" w:space="0" w:color="auto"/>
        <w:right w:val="none" w:sz="0" w:space="0" w:color="auto"/>
      </w:divBdr>
    </w:div>
    <w:div w:id="441732020">
      <w:bodyDiv w:val="1"/>
      <w:marLeft w:val="0"/>
      <w:marRight w:val="0"/>
      <w:marTop w:val="0"/>
      <w:marBottom w:val="0"/>
      <w:divBdr>
        <w:top w:val="none" w:sz="0" w:space="0" w:color="auto"/>
        <w:left w:val="none" w:sz="0" w:space="0" w:color="auto"/>
        <w:bottom w:val="none" w:sz="0" w:space="0" w:color="auto"/>
        <w:right w:val="none" w:sz="0" w:space="0" w:color="auto"/>
      </w:divBdr>
      <w:divsChild>
        <w:div w:id="1776904877">
          <w:marLeft w:val="0"/>
          <w:marRight w:val="0"/>
          <w:marTop w:val="0"/>
          <w:marBottom w:val="0"/>
          <w:divBdr>
            <w:top w:val="none" w:sz="0" w:space="0" w:color="auto"/>
            <w:left w:val="none" w:sz="0" w:space="0" w:color="auto"/>
            <w:bottom w:val="none" w:sz="0" w:space="0" w:color="auto"/>
            <w:right w:val="none" w:sz="0" w:space="0" w:color="auto"/>
          </w:divBdr>
          <w:divsChild>
            <w:div w:id="174882694">
              <w:marLeft w:val="0"/>
              <w:marRight w:val="0"/>
              <w:marTop w:val="0"/>
              <w:marBottom w:val="0"/>
              <w:divBdr>
                <w:top w:val="none" w:sz="0" w:space="0" w:color="auto"/>
                <w:left w:val="none" w:sz="0" w:space="0" w:color="auto"/>
                <w:bottom w:val="none" w:sz="0" w:space="0" w:color="auto"/>
                <w:right w:val="none" w:sz="0" w:space="0" w:color="auto"/>
              </w:divBdr>
              <w:divsChild>
                <w:div w:id="1903979011">
                  <w:marLeft w:val="0"/>
                  <w:marRight w:val="0"/>
                  <w:marTop w:val="0"/>
                  <w:marBottom w:val="0"/>
                  <w:divBdr>
                    <w:top w:val="none" w:sz="0" w:space="0" w:color="auto"/>
                    <w:left w:val="none" w:sz="0" w:space="0" w:color="auto"/>
                    <w:bottom w:val="none" w:sz="0" w:space="0" w:color="auto"/>
                    <w:right w:val="none" w:sz="0" w:space="0" w:color="auto"/>
                  </w:divBdr>
                  <w:divsChild>
                    <w:div w:id="2025667287">
                      <w:marLeft w:val="0"/>
                      <w:marRight w:val="0"/>
                      <w:marTop w:val="0"/>
                      <w:marBottom w:val="0"/>
                      <w:divBdr>
                        <w:top w:val="none" w:sz="0" w:space="0" w:color="auto"/>
                        <w:left w:val="none" w:sz="0" w:space="0" w:color="auto"/>
                        <w:bottom w:val="none" w:sz="0" w:space="0" w:color="auto"/>
                        <w:right w:val="none" w:sz="0" w:space="0" w:color="auto"/>
                      </w:divBdr>
                      <w:divsChild>
                        <w:div w:id="2125540805">
                          <w:marLeft w:val="0"/>
                          <w:marRight w:val="0"/>
                          <w:marTop w:val="0"/>
                          <w:marBottom w:val="0"/>
                          <w:divBdr>
                            <w:top w:val="none" w:sz="0" w:space="0" w:color="auto"/>
                            <w:left w:val="none" w:sz="0" w:space="0" w:color="auto"/>
                            <w:bottom w:val="none" w:sz="0" w:space="0" w:color="auto"/>
                            <w:right w:val="none" w:sz="0" w:space="0" w:color="auto"/>
                          </w:divBdr>
                          <w:divsChild>
                            <w:div w:id="1506745970">
                              <w:marLeft w:val="0"/>
                              <w:marRight w:val="0"/>
                              <w:marTop w:val="0"/>
                              <w:marBottom w:val="0"/>
                              <w:divBdr>
                                <w:top w:val="none" w:sz="0" w:space="0" w:color="auto"/>
                                <w:left w:val="none" w:sz="0" w:space="0" w:color="auto"/>
                                <w:bottom w:val="none" w:sz="0" w:space="0" w:color="auto"/>
                                <w:right w:val="none" w:sz="0" w:space="0" w:color="auto"/>
                              </w:divBdr>
                              <w:divsChild>
                                <w:div w:id="859469418">
                                  <w:marLeft w:val="0"/>
                                  <w:marRight w:val="0"/>
                                  <w:marTop w:val="0"/>
                                  <w:marBottom w:val="0"/>
                                  <w:divBdr>
                                    <w:top w:val="none" w:sz="0" w:space="0" w:color="auto"/>
                                    <w:left w:val="none" w:sz="0" w:space="0" w:color="auto"/>
                                    <w:bottom w:val="none" w:sz="0" w:space="0" w:color="auto"/>
                                    <w:right w:val="none" w:sz="0" w:space="0" w:color="auto"/>
                                  </w:divBdr>
                                  <w:divsChild>
                                    <w:div w:id="285357328">
                                      <w:marLeft w:val="0"/>
                                      <w:marRight w:val="0"/>
                                      <w:marTop w:val="0"/>
                                      <w:marBottom w:val="0"/>
                                      <w:divBdr>
                                        <w:top w:val="none" w:sz="0" w:space="0" w:color="auto"/>
                                        <w:left w:val="none" w:sz="0" w:space="0" w:color="auto"/>
                                        <w:bottom w:val="none" w:sz="0" w:space="0" w:color="auto"/>
                                        <w:right w:val="none" w:sz="0" w:space="0" w:color="auto"/>
                                      </w:divBdr>
                                      <w:divsChild>
                                        <w:div w:id="1812361308">
                                          <w:marLeft w:val="0"/>
                                          <w:marRight w:val="0"/>
                                          <w:marTop w:val="0"/>
                                          <w:marBottom w:val="330"/>
                                          <w:divBdr>
                                            <w:top w:val="none" w:sz="0" w:space="0" w:color="auto"/>
                                            <w:left w:val="none" w:sz="0" w:space="0" w:color="auto"/>
                                            <w:bottom w:val="none" w:sz="0" w:space="0" w:color="auto"/>
                                            <w:right w:val="none" w:sz="0" w:space="0" w:color="auto"/>
                                          </w:divBdr>
                                          <w:divsChild>
                                            <w:div w:id="136841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7005721">
      <w:bodyDiv w:val="1"/>
      <w:marLeft w:val="0"/>
      <w:marRight w:val="0"/>
      <w:marTop w:val="0"/>
      <w:marBottom w:val="0"/>
      <w:divBdr>
        <w:top w:val="none" w:sz="0" w:space="0" w:color="auto"/>
        <w:left w:val="none" w:sz="0" w:space="0" w:color="auto"/>
        <w:bottom w:val="none" w:sz="0" w:space="0" w:color="auto"/>
        <w:right w:val="none" w:sz="0" w:space="0" w:color="auto"/>
      </w:divBdr>
      <w:divsChild>
        <w:div w:id="922109784">
          <w:marLeft w:val="0"/>
          <w:marRight w:val="0"/>
          <w:marTop w:val="0"/>
          <w:marBottom w:val="0"/>
          <w:divBdr>
            <w:top w:val="none" w:sz="0" w:space="0" w:color="auto"/>
            <w:left w:val="none" w:sz="0" w:space="0" w:color="auto"/>
            <w:bottom w:val="none" w:sz="0" w:space="0" w:color="auto"/>
            <w:right w:val="none" w:sz="0" w:space="0" w:color="auto"/>
          </w:divBdr>
          <w:divsChild>
            <w:div w:id="526724467">
              <w:marLeft w:val="0"/>
              <w:marRight w:val="0"/>
              <w:marTop w:val="0"/>
              <w:marBottom w:val="0"/>
              <w:divBdr>
                <w:top w:val="none" w:sz="0" w:space="0" w:color="auto"/>
                <w:left w:val="none" w:sz="0" w:space="0" w:color="auto"/>
                <w:bottom w:val="none" w:sz="0" w:space="0" w:color="auto"/>
                <w:right w:val="none" w:sz="0" w:space="0" w:color="auto"/>
              </w:divBdr>
              <w:divsChild>
                <w:div w:id="993799068">
                  <w:marLeft w:val="0"/>
                  <w:marRight w:val="0"/>
                  <w:marTop w:val="0"/>
                  <w:marBottom w:val="0"/>
                  <w:divBdr>
                    <w:top w:val="none" w:sz="0" w:space="0" w:color="auto"/>
                    <w:left w:val="none" w:sz="0" w:space="0" w:color="auto"/>
                    <w:bottom w:val="none" w:sz="0" w:space="0" w:color="auto"/>
                    <w:right w:val="none" w:sz="0" w:space="0" w:color="auto"/>
                  </w:divBdr>
                  <w:divsChild>
                    <w:div w:id="1022895295">
                      <w:marLeft w:val="0"/>
                      <w:marRight w:val="0"/>
                      <w:marTop w:val="0"/>
                      <w:marBottom w:val="0"/>
                      <w:divBdr>
                        <w:top w:val="none" w:sz="0" w:space="0" w:color="auto"/>
                        <w:left w:val="none" w:sz="0" w:space="0" w:color="auto"/>
                        <w:bottom w:val="none" w:sz="0" w:space="0" w:color="auto"/>
                        <w:right w:val="none" w:sz="0" w:space="0" w:color="auto"/>
                      </w:divBdr>
                      <w:divsChild>
                        <w:div w:id="862324571">
                          <w:marLeft w:val="0"/>
                          <w:marRight w:val="0"/>
                          <w:marTop w:val="0"/>
                          <w:marBottom w:val="0"/>
                          <w:divBdr>
                            <w:top w:val="none" w:sz="0" w:space="0" w:color="auto"/>
                            <w:left w:val="none" w:sz="0" w:space="0" w:color="auto"/>
                            <w:bottom w:val="none" w:sz="0" w:space="0" w:color="auto"/>
                            <w:right w:val="none" w:sz="0" w:space="0" w:color="auto"/>
                          </w:divBdr>
                          <w:divsChild>
                            <w:div w:id="1058018644">
                              <w:marLeft w:val="0"/>
                              <w:marRight w:val="0"/>
                              <w:marTop w:val="0"/>
                              <w:marBottom w:val="0"/>
                              <w:divBdr>
                                <w:top w:val="none" w:sz="0" w:space="0" w:color="auto"/>
                                <w:left w:val="none" w:sz="0" w:space="0" w:color="auto"/>
                                <w:bottom w:val="none" w:sz="0" w:space="0" w:color="auto"/>
                                <w:right w:val="none" w:sz="0" w:space="0" w:color="auto"/>
                              </w:divBdr>
                              <w:divsChild>
                                <w:div w:id="1374503562">
                                  <w:marLeft w:val="0"/>
                                  <w:marRight w:val="0"/>
                                  <w:marTop w:val="0"/>
                                  <w:marBottom w:val="0"/>
                                  <w:divBdr>
                                    <w:top w:val="none" w:sz="0" w:space="0" w:color="auto"/>
                                    <w:left w:val="none" w:sz="0" w:space="0" w:color="auto"/>
                                    <w:bottom w:val="none" w:sz="0" w:space="0" w:color="auto"/>
                                    <w:right w:val="none" w:sz="0" w:space="0" w:color="auto"/>
                                  </w:divBdr>
                                  <w:divsChild>
                                    <w:div w:id="1175001889">
                                      <w:marLeft w:val="0"/>
                                      <w:marRight w:val="0"/>
                                      <w:marTop w:val="0"/>
                                      <w:marBottom w:val="0"/>
                                      <w:divBdr>
                                        <w:top w:val="none" w:sz="0" w:space="0" w:color="auto"/>
                                        <w:left w:val="none" w:sz="0" w:space="0" w:color="auto"/>
                                        <w:bottom w:val="none" w:sz="0" w:space="0" w:color="auto"/>
                                        <w:right w:val="none" w:sz="0" w:space="0" w:color="auto"/>
                                      </w:divBdr>
                                      <w:divsChild>
                                        <w:div w:id="1390032404">
                                          <w:marLeft w:val="0"/>
                                          <w:marRight w:val="0"/>
                                          <w:marTop w:val="0"/>
                                          <w:marBottom w:val="330"/>
                                          <w:divBdr>
                                            <w:top w:val="none" w:sz="0" w:space="0" w:color="auto"/>
                                            <w:left w:val="none" w:sz="0" w:space="0" w:color="auto"/>
                                            <w:bottom w:val="none" w:sz="0" w:space="0" w:color="auto"/>
                                            <w:right w:val="none" w:sz="0" w:space="0" w:color="auto"/>
                                          </w:divBdr>
                                          <w:divsChild>
                                            <w:div w:id="4236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0286442">
      <w:bodyDiv w:val="1"/>
      <w:marLeft w:val="0"/>
      <w:marRight w:val="0"/>
      <w:marTop w:val="0"/>
      <w:marBottom w:val="0"/>
      <w:divBdr>
        <w:top w:val="none" w:sz="0" w:space="0" w:color="auto"/>
        <w:left w:val="none" w:sz="0" w:space="0" w:color="auto"/>
        <w:bottom w:val="none" w:sz="0" w:space="0" w:color="auto"/>
        <w:right w:val="none" w:sz="0" w:space="0" w:color="auto"/>
      </w:divBdr>
      <w:divsChild>
        <w:div w:id="1799102017">
          <w:marLeft w:val="0"/>
          <w:marRight w:val="0"/>
          <w:marTop w:val="0"/>
          <w:marBottom w:val="0"/>
          <w:divBdr>
            <w:top w:val="none" w:sz="0" w:space="0" w:color="auto"/>
            <w:left w:val="none" w:sz="0" w:space="0" w:color="auto"/>
            <w:bottom w:val="none" w:sz="0" w:space="0" w:color="auto"/>
            <w:right w:val="none" w:sz="0" w:space="0" w:color="auto"/>
          </w:divBdr>
          <w:divsChild>
            <w:div w:id="1139495214">
              <w:marLeft w:val="0"/>
              <w:marRight w:val="0"/>
              <w:marTop w:val="0"/>
              <w:marBottom w:val="0"/>
              <w:divBdr>
                <w:top w:val="none" w:sz="0" w:space="0" w:color="auto"/>
                <w:left w:val="none" w:sz="0" w:space="0" w:color="auto"/>
                <w:bottom w:val="none" w:sz="0" w:space="0" w:color="auto"/>
                <w:right w:val="none" w:sz="0" w:space="0" w:color="auto"/>
              </w:divBdr>
              <w:divsChild>
                <w:div w:id="42484802">
                  <w:marLeft w:val="0"/>
                  <w:marRight w:val="0"/>
                  <w:marTop w:val="0"/>
                  <w:marBottom w:val="0"/>
                  <w:divBdr>
                    <w:top w:val="none" w:sz="0" w:space="0" w:color="auto"/>
                    <w:left w:val="none" w:sz="0" w:space="0" w:color="auto"/>
                    <w:bottom w:val="none" w:sz="0" w:space="0" w:color="auto"/>
                    <w:right w:val="none" w:sz="0" w:space="0" w:color="auto"/>
                  </w:divBdr>
                  <w:divsChild>
                    <w:div w:id="2005085254">
                      <w:marLeft w:val="0"/>
                      <w:marRight w:val="0"/>
                      <w:marTop w:val="0"/>
                      <w:marBottom w:val="0"/>
                      <w:divBdr>
                        <w:top w:val="none" w:sz="0" w:space="0" w:color="auto"/>
                        <w:left w:val="none" w:sz="0" w:space="0" w:color="auto"/>
                        <w:bottom w:val="none" w:sz="0" w:space="0" w:color="auto"/>
                        <w:right w:val="none" w:sz="0" w:space="0" w:color="auto"/>
                      </w:divBdr>
                      <w:divsChild>
                        <w:div w:id="598568480">
                          <w:marLeft w:val="0"/>
                          <w:marRight w:val="0"/>
                          <w:marTop w:val="0"/>
                          <w:marBottom w:val="0"/>
                          <w:divBdr>
                            <w:top w:val="none" w:sz="0" w:space="0" w:color="auto"/>
                            <w:left w:val="none" w:sz="0" w:space="0" w:color="auto"/>
                            <w:bottom w:val="none" w:sz="0" w:space="0" w:color="auto"/>
                            <w:right w:val="none" w:sz="0" w:space="0" w:color="auto"/>
                          </w:divBdr>
                          <w:divsChild>
                            <w:div w:id="1733844249">
                              <w:marLeft w:val="0"/>
                              <w:marRight w:val="0"/>
                              <w:marTop w:val="0"/>
                              <w:marBottom w:val="0"/>
                              <w:divBdr>
                                <w:top w:val="none" w:sz="0" w:space="0" w:color="auto"/>
                                <w:left w:val="none" w:sz="0" w:space="0" w:color="auto"/>
                                <w:bottom w:val="none" w:sz="0" w:space="0" w:color="auto"/>
                                <w:right w:val="none" w:sz="0" w:space="0" w:color="auto"/>
                              </w:divBdr>
                              <w:divsChild>
                                <w:div w:id="890968449">
                                  <w:marLeft w:val="0"/>
                                  <w:marRight w:val="0"/>
                                  <w:marTop w:val="0"/>
                                  <w:marBottom w:val="0"/>
                                  <w:divBdr>
                                    <w:top w:val="none" w:sz="0" w:space="0" w:color="auto"/>
                                    <w:left w:val="none" w:sz="0" w:space="0" w:color="auto"/>
                                    <w:bottom w:val="none" w:sz="0" w:space="0" w:color="auto"/>
                                    <w:right w:val="none" w:sz="0" w:space="0" w:color="auto"/>
                                  </w:divBdr>
                                  <w:divsChild>
                                    <w:div w:id="635180011">
                                      <w:marLeft w:val="0"/>
                                      <w:marRight w:val="0"/>
                                      <w:marTop w:val="0"/>
                                      <w:marBottom w:val="0"/>
                                      <w:divBdr>
                                        <w:top w:val="none" w:sz="0" w:space="0" w:color="auto"/>
                                        <w:left w:val="none" w:sz="0" w:space="0" w:color="auto"/>
                                        <w:bottom w:val="none" w:sz="0" w:space="0" w:color="auto"/>
                                        <w:right w:val="none" w:sz="0" w:space="0" w:color="auto"/>
                                      </w:divBdr>
                                      <w:divsChild>
                                        <w:div w:id="1163736139">
                                          <w:marLeft w:val="0"/>
                                          <w:marRight w:val="0"/>
                                          <w:marTop w:val="0"/>
                                          <w:marBottom w:val="330"/>
                                          <w:divBdr>
                                            <w:top w:val="none" w:sz="0" w:space="0" w:color="auto"/>
                                            <w:left w:val="none" w:sz="0" w:space="0" w:color="auto"/>
                                            <w:bottom w:val="none" w:sz="0" w:space="0" w:color="auto"/>
                                            <w:right w:val="none" w:sz="0" w:space="0" w:color="auto"/>
                                          </w:divBdr>
                                          <w:divsChild>
                                            <w:div w:id="812409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5182637">
      <w:bodyDiv w:val="1"/>
      <w:marLeft w:val="0"/>
      <w:marRight w:val="0"/>
      <w:marTop w:val="0"/>
      <w:marBottom w:val="0"/>
      <w:divBdr>
        <w:top w:val="none" w:sz="0" w:space="0" w:color="auto"/>
        <w:left w:val="none" w:sz="0" w:space="0" w:color="auto"/>
        <w:bottom w:val="none" w:sz="0" w:space="0" w:color="auto"/>
        <w:right w:val="none" w:sz="0" w:space="0" w:color="auto"/>
      </w:divBdr>
      <w:divsChild>
        <w:div w:id="1113666308">
          <w:marLeft w:val="0"/>
          <w:marRight w:val="0"/>
          <w:marTop w:val="0"/>
          <w:marBottom w:val="0"/>
          <w:divBdr>
            <w:top w:val="none" w:sz="0" w:space="0" w:color="auto"/>
            <w:left w:val="none" w:sz="0" w:space="0" w:color="auto"/>
            <w:bottom w:val="none" w:sz="0" w:space="0" w:color="auto"/>
            <w:right w:val="none" w:sz="0" w:space="0" w:color="auto"/>
          </w:divBdr>
          <w:divsChild>
            <w:div w:id="531844854">
              <w:marLeft w:val="0"/>
              <w:marRight w:val="0"/>
              <w:marTop w:val="0"/>
              <w:marBottom w:val="0"/>
              <w:divBdr>
                <w:top w:val="none" w:sz="0" w:space="0" w:color="auto"/>
                <w:left w:val="none" w:sz="0" w:space="0" w:color="auto"/>
                <w:bottom w:val="none" w:sz="0" w:space="0" w:color="auto"/>
                <w:right w:val="none" w:sz="0" w:space="0" w:color="auto"/>
              </w:divBdr>
              <w:divsChild>
                <w:div w:id="969361721">
                  <w:marLeft w:val="0"/>
                  <w:marRight w:val="0"/>
                  <w:marTop w:val="0"/>
                  <w:marBottom w:val="0"/>
                  <w:divBdr>
                    <w:top w:val="none" w:sz="0" w:space="0" w:color="auto"/>
                    <w:left w:val="none" w:sz="0" w:space="0" w:color="auto"/>
                    <w:bottom w:val="none" w:sz="0" w:space="0" w:color="auto"/>
                    <w:right w:val="none" w:sz="0" w:space="0" w:color="auto"/>
                  </w:divBdr>
                  <w:divsChild>
                    <w:div w:id="2038001917">
                      <w:marLeft w:val="0"/>
                      <w:marRight w:val="0"/>
                      <w:marTop w:val="0"/>
                      <w:marBottom w:val="0"/>
                      <w:divBdr>
                        <w:top w:val="none" w:sz="0" w:space="0" w:color="auto"/>
                        <w:left w:val="none" w:sz="0" w:space="0" w:color="auto"/>
                        <w:bottom w:val="none" w:sz="0" w:space="0" w:color="auto"/>
                        <w:right w:val="none" w:sz="0" w:space="0" w:color="auto"/>
                      </w:divBdr>
                      <w:divsChild>
                        <w:div w:id="675348970">
                          <w:marLeft w:val="0"/>
                          <w:marRight w:val="0"/>
                          <w:marTop w:val="0"/>
                          <w:marBottom w:val="0"/>
                          <w:divBdr>
                            <w:top w:val="none" w:sz="0" w:space="0" w:color="auto"/>
                            <w:left w:val="none" w:sz="0" w:space="0" w:color="auto"/>
                            <w:bottom w:val="none" w:sz="0" w:space="0" w:color="auto"/>
                            <w:right w:val="none" w:sz="0" w:space="0" w:color="auto"/>
                          </w:divBdr>
                          <w:divsChild>
                            <w:div w:id="1751462499">
                              <w:marLeft w:val="0"/>
                              <w:marRight w:val="0"/>
                              <w:marTop w:val="0"/>
                              <w:marBottom w:val="0"/>
                              <w:divBdr>
                                <w:top w:val="none" w:sz="0" w:space="0" w:color="auto"/>
                                <w:left w:val="none" w:sz="0" w:space="0" w:color="auto"/>
                                <w:bottom w:val="none" w:sz="0" w:space="0" w:color="auto"/>
                                <w:right w:val="none" w:sz="0" w:space="0" w:color="auto"/>
                              </w:divBdr>
                              <w:divsChild>
                                <w:div w:id="359360425">
                                  <w:marLeft w:val="0"/>
                                  <w:marRight w:val="0"/>
                                  <w:marTop w:val="0"/>
                                  <w:marBottom w:val="0"/>
                                  <w:divBdr>
                                    <w:top w:val="none" w:sz="0" w:space="0" w:color="auto"/>
                                    <w:left w:val="none" w:sz="0" w:space="0" w:color="auto"/>
                                    <w:bottom w:val="none" w:sz="0" w:space="0" w:color="auto"/>
                                    <w:right w:val="none" w:sz="0" w:space="0" w:color="auto"/>
                                  </w:divBdr>
                                  <w:divsChild>
                                    <w:div w:id="1575235594">
                                      <w:marLeft w:val="0"/>
                                      <w:marRight w:val="0"/>
                                      <w:marTop w:val="0"/>
                                      <w:marBottom w:val="0"/>
                                      <w:divBdr>
                                        <w:top w:val="none" w:sz="0" w:space="0" w:color="auto"/>
                                        <w:left w:val="none" w:sz="0" w:space="0" w:color="auto"/>
                                        <w:bottom w:val="none" w:sz="0" w:space="0" w:color="auto"/>
                                        <w:right w:val="none" w:sz="0" w:space="0" w:color="auto"/>
                                      </w:divBdr>
                                      <w:divsChild>
                                        <w:div w:id="1731611165">
                                          <w:marLeft w:val="0"/>
                                          <w:marRight w:val="0"/>
                                          <w:marTop w:val="0"/>
                                          <w:marBottom w:val="330"/>
                                          <w:divBdr>
                                            <w:top w:val="none" w:sz="0" w:space="0" w:color="auto"/>
                                            <w:left w:val="none" w:sz="0" w:space="0" w:color="auto"/>
                                            <w:bottom w:val="none" w:sz="0" w:space="0" w:color="auto"/>
                                            <w:right w:val="none" w:sz="0" w:space="0" w:color="auto"/>
                                          </w:divBdr>
                                          <w:divsChild>
                                            <w:div w:id="11383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02787544">
      <w:bodyDiv w:val="1"/>
      <w:marLeft w:val="0"/>
      <w:marRight w:val="0"/>
      <w:marTop w:val="0"/>
      <w:marBottom w:val="0"/>
      <w:divBdr>
        <w:top w:val="none" w:sz="0" w:space="0" w:color="auto"/>
        <w:left w:val="none" w:sz="0" w:space="0" w:color="auto"/>
        <w:bottom w:val="none" w:sz="0" w:space="0" w:color="auto"/>
        <w:right w:val="none" w:sz="0" w:space="0" w:color="auto"/>
      </w:divBdr>
      <w:divsChild>
        <w:div w:id="1012486258">
          <w:marLeft w:val="0"/>
          <w:marRight w:val="0"/>
          <w:marTop w:val="0"/>
          <w:marBottom w:val="0"/>
          <w:divBdr>
            <w:top w:val="none" w:sz="0" w:space="0" w:color="auto"/>
            <w:left w:val="none" w:sz="0" w:space="0" w:color="auto"/>
            <w:bottom w:val="none" w:sz="0" w:space="0" w:color="auto"/>
            <w:right w:val="none" w:sz="0" w:space="0" w:color="auto"/>
          </w:divBdr>
          <w:divsChild>
            <w:div w:id="1952128320">
              <w:marLeft w:val="0"/>
              <w:marRight w:val="0"/>
              <w:marTop w:val="0"/>
              <w:marBottom w:val="0"/>
              <w:divBdr>
                <w:top w:val="none" w:sz="0" w:space="0" w:color="auto"/>
                <w:left w:val="none" w:sz="0" w:space="0" w:color="auto"/>
                <w:bottom w:val="none" w:sz="0" w:space="0" w:color="auto"/>
                <w:right w:val="none" w:sz="0" w:space="0" w:color="auto"/>
              </w:divBdr>
              <w:divsChild>
                <w:div w:id="1057706600">
                  <w:marLeft w:val="0"/>
                  <w:marRight w:val="0"/>
                  <w:marTop w:val="0"/>
                  <w:marBottom w:val="0"/>
                  <w:divBdr>
                    <w:top w:val="none" w:sz="0" w:space="0" w:color="auto"/>
                    <w:left w:val="none" w:sz="0" w:space="0" w:color="auto"/>
                    <w:bottom w:val="none" w:sz="0" w:space="0" w:color="auto"/>
                    <w:right w:val="none" w:sz="0" w:space="0" w:color="auto"/>
                  </w:divBdr>
                  <w:divsChild>
                    <w:div w:id="795025765">
                      <w:marLeft w:val="0"/>
                      <w:marRight w:val="0"/>
                      <w:marTop w:val="0"/>
                      <w:marBottom w:val="0"/>
                      <w:divBdr>
                        <w:top w:val="none" w:sz="0" w:space="0" w:color="auto"/>
                        <w:left w:val="none" w:sz="0" w:space="0" w:color="auto"/>
                        <w:bottom w:val="none" w:sz="0" w:space="0" w:color="auto"/>
                        <w:right w:val="none" w:sz="0" w:space="0" w:color="auto"/>
                      </w:divBdr>
                      <w:divsChild>
                        <w:div w:id="127826250">
                          <w:marLeft w:val="0"/>
                          <w:marRight w:val="0"/>
                          <w:marTop w:val="0"/>
                          <w:marBottom w:val="0"/>
                          <w:divBdr>
                            <w:top w:val="none" w:sz="0" w:space="0" w:color="auto"/>
                            <w:left w:val="none" w:sz="0" w:space="0" w:color="auto"/>
                            <w:bottom w:val="none" w:sz="0" w:space="0" w:color="auto"/>
                            <w:right w:val="none" w:sz="0" w:space="0" w:color="auto"/>
                          </w:divBdr>
                          <w:divsChild>
                            <w:div w:id="761100236">
                              <w:marLeft w:val="0"/>
                              <w:marRight w:val="0"/>
                              <w:marTop w:val="0"/>
                              <w:marBottom w:val="0"/>
                              <w:divBdr>
                                <w:top w:val="none" w:sz="0" w:space="0" w:color="auto"/>
                                <w:left w:val="none" w:sz="0" w:space="0" w:color="auto"/>
                                <w:bottom w:val="none" w:sz="0" w:space="0" w:color="auto"/>
                                <w:right w:val="none" w:sz="0" w:space="0" w:color="auto"/>
                              </w:divBdr>
                              <w:divsChild>
                                <w:div w:id="1818303037">
                                  <w:marLeft w:val="0"/>
                                  <w:marRight w:val="0"/>
                                  <w:marTop w:val="0"/>
                                  <w:marBottom w:val="0"/>
                                  <w:divBdr>
                                    <w:top w:val="none" w:sz="0" w:space="0" w:color="auto"/>
                                    <w:left w:val="none" w:sz="0" w:space="0" w:color="auto"/>
                                    <w:bottom w:val="none" w:sz="0" w:space="0" w:color="auto"/>
                                    <w:right w:val="none" w:sz="0" w:space="0" w:color="auto"/>
                                  </w:divBdr>
                                  <w:divsChild>
                                    <w:div w:id="2055735763">
                                      <w:marLeft w:val="0"/>
                                      <w:marRight w:val="0"/>
                                      <w:marTop w:val="0"/>
                                      <w:marBottom w:val="0"/>
                                      <w:divBdr>
                                        <w:top w:val="none" w:sz="0" w:space="0" w:color="auto"/>
                                        <w:left w:val="none" w:sz="0" w:space="0" w:color="auto"/>
                                        <w:bottom w:val="none" w:sz="0" w:space="0" w:color="auto"/>
                                        <w:right w:val="none" w:sz="0" w:space="0" w:color="auto"/>
                                      </w:divBdr>
                                      <w:divsChild>
                                        <w:div w:id="479661420">
                                          <w:marLeft w:val="0"/>
                                          <w:marRight w:val="0"/>
                                          <w:marTop w:val="0"/>
                                          <w:marBottom w:val="330"/>
                                          <w:divBdr>
                                            <w:top w:val="none" w:sz="0" w:space="0" w:color="auto"/>
                                            <w:left w:val="none" w:sz="0" w:space="0" w:color="auto"/>
                                            <w:bottom w:val="none" w:sz="0" w:space="0" w:color="auto"/>
                                            <w:right w:val="none" w:sz="0" w:space="0" w:color="auto"/>
                                          </w:divBdr>
                                          <w:divsChild>
                                            <w:div w:id="312756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08986273">
      <w:bodyDiv w:val="1"/>
      <w:marLeft w:val="0"/>
      <w:marRight w:val="0"/>
      <w:marTop w:val="0"/>
      <w:marBottom w:val="0"/>
      <w:divBdr>
        <w:top w:val="none" w:sz="0" w:space="0" w:color="auto"/>
        <w:left w:val="none" w:sz="0" w:space="0" w:color="auto"/>
        <w:bottom w:val="none" w:sz="0" w:space="0" w:color="auto"/>
        <w:right w:val="none" w:sz="0" w:space="0" w:color="auto"/>
      </w:divBdr>
      <w:divsChild>
        <w:div w:id="1284771400">
          <w:marLeft w:val="0"/>
          <w:marRight w:val="0"/>
          <w:marTop w:val="0"/>
          <w:marBottom w:val="0"/>
          <w:divBdr>
            <w:top w:val="none" w:sz="0" w:space="0" w:color="auto"/>
            <w:left w:val="none" w:sz="0" w:space="0" w:color="auto"/>
            <w:bottom w:val="none" w:sz="0" w:space="0" w:color="auto"/>
            <w:right w:val="none" w:sz="0" w:space="0" w:color="auto"/>
          </w:divBdr>
          <w:divsChild>
            <w:div w:id="1100836410">
              <w:marLeft w:val="0"/>
              <w:marRight w:val="0"/>
              <w:marTop w:val="0"/>
              <w:marBottom w:val="0"/>
              <w:divBdr>
                <w:top w:val="none" w:sz="0" w:space="0" w:color="auto"/>
                <w:left w:val="none" w:sz="0" w:space="0" w:color="auto"/>
                <w:bottom w:val="none" w:sz="0" w:space="0" w:color="auto"/>
                <w:right w:val="none" w:sz="0" w:space="0" w:color="auto"/>
              </w:divBdr>
              <w:divsChild>
                <w:div w:id="1752316487">
                  <w:marLeft w:val="0"/>
                  <w:marRight w:val="0"/>
                  <w:marTop w:val="0"/>
                  <w:marBottom w:val="0"/>
                  <w:divBdr>
                    <w:top w:val="none" w:sz="0" w:space="0" w:color="auto"/>
                    <w:left w:val="none" w:sz="0" w:space="0" w:color="auto"/>
                    <w:bottom w:val="none" w:sz="0" w:space="0" w:color="auto"/>
                    <w:right w:val="none" w:sz="0" w:space="0" w:color="auto"/>
                  </w:divBdr>
                  <w:divsChild>
                    <w:div w:id="1618171869">
                      <w:marLeft w:val="0"/>
                      <w:marRight w:val="0"/>
                      <w:marTop w:val="0"/>
                      <w:marBottom w:val="0"/>
                      <w:divBdr>
                        <w:top w:val="none" w:sz="0" w:space="0" w:color="auto"/>
                        <w:left w:val="none" w:sz="0" w:space="0" w:color="auto"/>
                        <w:bottom w:val="none" w:sz="0" w:space="0" w:color="auto"/>
                        <w:right w:val="none" w:sz="0" w:space="0" w:color="auto"/>
                      </w:divBdr>
                      <w:divsChild>
                        <w:div w:id="556552393">
                          <w:marLeft w:val="0"/>
                          <w:marRight w:val="0"/>
                          <w:marTop w:val="0"/>
                          <w:marBottom w:val="0"/>
                          <w:divBdr>
                            <w:top w:val="none" w:sz="0" w:space="0" w:color="auto"/>
                            <w:left w:val="none" w:sz="0" w:space="0" w:color="auto"/>
                            <w:bottom w:val="none" w:sz="0" w:space="0" w:color="auto"/>
                            <w:right w:val="none" w:sz="0" w:space="0" w:color="auto"/>
                          </w:divBdr>
                          <w:divsChild>
                            <w:div w:id="1149324317">
                              <w:marLeft w:val="0"/>
                              <w:marRight w:val="0"/>
                              <w:marTop w:val="0"/>
                              <w:marBottom w:val="0"/>
                              <w:divBdr>
                                <w:top w:val="none" w:sz="0" w:space="0" w:color="auto"/>
                                <w:left w:val="none" w:sz="0" w:space="0" w:color="auto"/>
                                <w:bottom w:val="none" w:sz="0" w:space="0" w:color="auto"/>
                                <w:right w:val="none" w:sz="0" w:space="0" w:color="auto"/>
                              </w:divBdr>
                              <w:divsChild>
                                <w:div w:id="249507274">
                                  <w:marLeft w:val="0"/>
                                  <w:marRight w:val="0"/>
                                  <w:marTop w:val="0"/>
                                  <w:marBottom w:val="0"/>
                                  <w:divBdr>
                                    <w:top w:val="none" w:sz="0" w:space="0" w:color="auto"/>
                                    <w:left w:val="none" w:sz="0" w:space="0" w:color="auto"/>
                                    <w:bottom w:val="none" w:sz="0" w:space="0" w:color="auto"/>
                                    <w:right w:val="none" w:sz="0" w:space="0" w:color="auto"/>
                                  </w:divBdr>
                                  <w:divsChild>
                                    <w:div w:id="1391032209">
                                      <w:marLeft w:val="0"/>
                                      <w:marRight w:val="0"/>
                                      <w:marTop w:val="0"/>
                                      <w:marBottom w:val="0"/>
                                      <w:divBdr>
                                        <w:top w:val="none" w:sz="0" w:space="0" w:color="auto"/>
                                        <w:left w:val="none" w:sz="0" w:space="0" w:color="auto"/>
                                        <w:bottom w:val="none" w:sz="0" w:space="0" w:color="auto"/>
                                        <w:right w:val="none" w:sz="0" w:space="0" w:color="auto"/>
                                      </w:divBdr>
                                      <w:divsChild>
                                        <w:div w:id="1715695683">
                                          <w:marLeft w:val="0"/>
                                          <w:marRight w:val="0"/>
                                          <w:marTop w:val="0"/>
                                          <w:marBottom w:val="330"/>
                                          <w:divBdr>
                                            <w:top w:val="none" w:sz="0" w:space="0" w:color="auto"/>
                                            <w:left w:val="none" w:sz="0" w:space="0" w:color="auto"/>
                                            <w:bottom w:val="none" w:sz="0" w:space="0" w:color="auto"/>
                                            <w:right w:val="none" w:sz="0" w:space="0" w:color="auto"/>
                                          </w:divBdr>
                                          <w:divsChild>
                                            <w:div w:id="171739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43625677">
      <w:marLeft w:val="0"/>
      <w:marRight w:val="0"/>
      <w:marTop w:val="0"/>
      <w:marBottom w:val="0"/>
      <w:divBdr>
        <w:top w:val="none" w:sz="0" w:space="0" w:color="auto"/>
        <w:left w:val="none" w:sz="0" w:space="0" w:color="auto"/>
        <w:bottom w:val="none" w:sz="0" w:space="0" w:color="auto"/>
        <w:right w:val="none" w:sz="0" w:space="0" w:color="auto"/>
      </w:divBdr>
    </w:div>
    <w:div w:id="2040936651">
      <w:bodyDiv w:val="1"/>
      <w:marLeft w:val="0"/>
      <w:marRight w:val="0"/>
      <w:marTop w:val="0"/>
      <w:marBottom w:val="0"/>
      <w:divBdr>
        <w:top w:val="none" w:sz="0" w:space="0" w:color="auto"/>
        <w:left w:val="none" w:sz="0" w:space="0" w:color="auto"/>
        <w:bottom w:val="none" w:sz="0" w:space="0" w:color="auto"/>
        <w:right w:val="none" w:sz="0" w:space="0" w:color="auto"/>
      </w:divBdr>
      <w:divsChild>
        <w:div w:id="1188719300">
          <w:marLeft w:val="0"/>
          <w:marRight w:val="0"/>
          <w:marTop w:val="0"/>
          <w:marBottom w:val="0"/>
          <w:divBdr>
            <w:top w:val="none" w:sz="0" w:space="0" w:color="auto"/>
            <w:left w:val="none" w:sz="0" w:space="0" w:color="auto"/>
            <w:bottom w:val="none" w:sz="0" w:space="0" w:color="auto"/>
            <w:right w:val="none" w:sz="0" w:space="0" w:color="auto"/>
          </w:divBdr>
          <w:divsChild>
            <w:div w:id="1202786781">
              <w:marLeft w:val="0"/>
              <w:marRight w:val="0"/>
              <w:marTop w:val="0"/>
              <w:marBottom w:val="0"/>
              <w:divBdr>
                <w:top w:val="none" w:sz="0" w:space="0" w:color="auto"/>
                <w:left w:val="none" w:sz="0" w:space="0" w:color="auto"/>
                <w:bottom w:val="none" w:sz="0" w:space="0" w:color="auto"/>
                <w:right w:val="none" w:sz="0" w:space="0" w:color="auto"/>
              </w:divBdr>
              <w:divsChild>
                <w:div w:id="235674988">
                  <w:marLeft w:val="0"/>
                  <w:marRight w:val="0"/>
                  <w:marTop w:val="0"/>
                  <w:marBottom w:val="0"/>
                  <w:divBdr>
                    <w:top w:val="none" w:sz="0" w:space="0" w:color="auto"/>
                    <w:left w:val="none" w:sz="0" w:space="0" w:color="auto"/>
                    <w:bottom w:val="none" w:sz="0" w:space="0" w:color="auto"/>
                    <w:right w:val="none" w:sz="0" w:space="0" w:color="auto"/>
                  </w:divBdr>
                  <w:divsChild>
                    <w:div w:id="825171190">
                      <w:marLeft w:val="0"/>
                      <w:marRight w:val="0"/>
                      <w:marTop w:val="0"/>
                      <w:marBottom w:val="0"/>
                      <w:divBdr>
                        <w:top w:val="none" w:sz="0" w:space="0" w:color="auto"/>
                        <w:left w:val="none" w:sz="0" w:space="0" w:color="auto"/>
                        <w:bottom w:val="none" w:sz="0" w:space="0" w:color="auto"/>
                        <w:right w:val="none" w:sz="0" w:space="0" w:color="auto"/>
                      </w:divBdr>
                      <w:divsChild>
                        <w:div w:id="1916747208">
                          <w:marLeft w:val="0"/>
                          <w:marRight w:val="0"/>
                          <w:marTop w:val="0"/>
                          <w:marBottom w:val="0"/>
                          <w:divBdr>
                            <w:top w:val="none" w:sz="0" w:space="0" w:color="auto"/>
                            <w:left w:val="none" w:sz="0" w:space="0" w:color="auto"/>
                            <w:bottom w:val="none" w:sz="0" w:space="0" w:color="auto"/>
                            <w:right w:val="none" w:sz="0" w:space="0" w:color="auto"/>
                          </w:divBdr>
                          <w:divsChild>
                            <w:div w:id="808518132">
                              <w:marLeft w:val="0"/>
                              <w:marRight w:val="0"/>
                              <w:marTop w:val="0"/>
                              <w:marBottom w:val="0"/>
                              <w:divBdr>
                                <w:top w:val="none" w:sz="0" w:space="0" w:color="auto"/>
                                <w:left w:val="none" w:sz="0" w:space="0" w:color="auto"/>
                                <w:bottom w:val="none" w:sz="0" w:space="0" w:color="auto"/>
                                <w:right w:val="none" w:sz="0" w:space="0" w:color="auto"/>
                              </w:divBdr>
                              <w:divsChild>
                                <w:div w:id="1145121079">
                                  <w:marLeft w:val="0"/>
                                  <w:marRight w:val="0"/>
                                  <w:marTop w:val="0"/>
                                  <w:marBottom w:val="0"/>
                                  <w:divBdr>
                                    <w:top w:val="none" w:sz="0" w:space="0" w:color="auto"/>
                                    <w:left w:val="none" w:sz="0" w:space="0" w:color="auto"/>
                                    <w:bottom w:val="none" w:sz="0" w:space="0" w:color="auto"/>
                                    <w:right w:val="none" w:sz="0" w:space="0" w:color="auto"/>
                                  </w:divBdr>
                                  <w:divsChild>
                                    <w:div w:id="1760171758">
                                      <w:marLeft w:val="0"/>
                                      <w:marRight w:val="0"/>
                                      <w:marTop w:val="0"/>
                                      <w:marBottom w:val="0"/>
                                      <w:divBdr>
                                        <w:top w:val="none" w:sz="0" w:space="0" w:color="auto"/>
                                        <w:left w:val="none" w:sz="0" w:space="0" w:color="auto"/>
                                        <w:bottom w:val="none" w:sz="0" w:space="0" w:color="auto"/>
                                        <w:right w:val="none" w:sz="0" w:space="0" w:color="auto"/>
                                      </w:divBdr>
                                      <w:divsChild>
                                        <w:div w:id="981933257">
                                          <w:marLeft w:val="0"/>
                                          <w:marRight w:val="0"/>
                                          <w:marTop w:val="0"/>
                                          <w:marBottom w:val="330"/>
                                          <w:divBdr>
                                            <w:top w:val="none" w:sz="0" w:space="0" w:color="auto"/>
                                            <w:left w:val="none" w:sz="0" w:space="0" w:color="auto"/>
                                            <w:bottom w:val="none" w:sz="0" w:space="0" w:color="auto"/>
                                            <w:right w:val="none" w:sz="0" w:space="0" w:color="auto"/>
                                          </w:divBdr>
                                          <w:divsChild>
                                            <w:div w:id="1649895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chart" Target="charts/chart5.xm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chart" Target="charts/chart7.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6.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10.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9.xml"/><Relationship Id="rId28"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3.xml"/><Relationship Id="rId22" Type="http://schemas.openxmlformats.org/officeDocument/2006/relationships/chart" Target="charts/chart8.xml"/><Relationship Id="rId27" Type="http://schemas.openxmlformats.org/officeDocument/2006/relationships/footer" Target="footer2.xml"/><Relationship Id="rId35"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Office_Excel_Worksheet7.xlsx"/><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275554814347166"/>
          <c:y val="5.1639626442044013E-2"/>
          <c:w val="0.86239555910276733"/>
          <c:h val="0.6596866467866529"/>
        </c:manualLayout>
      </c:layout>
      <c:barChart>
        <c:barDir val="col"/>
        <c:grouping val="clustered"/>
        <c:ser>
          <c:idx val="0"/>
          <c:order val="0"/>
          <c:tx>
            <c:strRef>
              <c:f>ورقة1!$A$2</c:f>
              <c:strCache>
                <c:ptCount val="1"/>
                <c:pt idx="0">
                  <c:v>Male</c:v>
                </c:pt>
              </c:strCache>
            </c:strRef>
          </c:tx>
          <c:dLbls>
            <c:dLbl>
              <c:idx val="0"/>
              <c:layout>
                <c:manualLayout>
                  <c:x val="-6.2768175158136041E-3"/>
                  <c:y val="4.3809178664382054E-2"/>
                </c:manualLayout>
              </c:layout>
              <c:dLblPos val="outEnd"/>
              <c:showVal val="1"/>
            </c:dLbl>
            <c:dLbl>
              <c:idx val="1"/>
              <c:layout>
                <c:manualLayout>
                  <c:x val="0"/>
                  <c:y val="1.4272724277666203E-2"/>
                </c:manualLayout>
              </c:layout>
              <c:dLblPos val="outEnd"/>
              <c:showVal val="1"/>
            </c:dLbl>
            <c:dLbl>
              <c:idx val="2"/>
              <c:layout>
                <c:manualLayout>
                  <c:x val="-3.1384674542160652E-3"/>
                  <c:y val="4.676159392968348E-2"/>
                </c:manualLayout>
              </c:layout>
              <c:dLblPos val="outEnd"/>
              <c:showVal val="1"/>
            </c:dLbl>
            <c:dLbl>
              <c:idx val="3"/>
              <c:layout>
                <c:manualLayout>
                  <c:x val="-3.1384087579067999E-3"/>
                  <c:y val="1.525714097453299E-2"/>
                </c:manualLayout>
              </c:layout>
              <c:dLblPos val="outEnd"/>
              <c:showVal val="1"/>
            </c:dLbl>
            <c:dLbl>
              <c:idx val="4"/>
              <c:layout>
                <c:manualLayout>
                  <c:x val="-1.1269014973733427E-4"/>
                  <c:y val="2.3625341811353284E-2"/>
                </c:manualLayout>
              </c:layout>
              <c:tx>
                <c:rich>
                  <a:bodyPr/>
                  <a:lstStyle/>
                  <a:p>
                    <a:r>
                      <a:rPr lang="en-US"/>
                      <a:t>6.0</a:t>
                    </a:r>
                  </a:p>
                </c:rich>
              </c:tx>
              <c:dLblPos val="outEnd"/>
              <c:showVal val="1"/>
            </c:dLbl>
            <c:dLbl>
              <c:idx val="5"/>
              <c:layout>
                <c:manualLayout>
                  <c:x val="-3.1322893686763333E-3"/>
                  <c:y val="4.676159392968348E-2"/>
                </c:manualLayout>
              </c:layout>
              <c:dLblPos val="outEnd"/>
              <c:showVal val="1"/>
            </c:dLbl>
            <c:dLbl>
              <c:idx val="6"/>
              <c:layout>
                <c:manualLayout>
                  <c:x val="-1.2322536838719733E-2"/>
                  <c:y val="1.3288307580799259E-2"/>
                </c:manualLayout>
              </c:layout>
              <c:dLblPos val="outEnd"/>
              <c:showVal val="1"/>
            </c:dLbl>
            <c:txPr>
              <a:bodyPr/>
              <a:lstStyle/>
              <a:p>
                <a:pPr>
                  <a:defRPr sz="700">
                    <a:latin typeface="Arial" pitchFamily="34" charset="0"/>
                    <a:cs typeface="Arial" pitchFamily="34" charset="0"/>
                  </a:defRPr>
                </a:pPr>
                <a:endParaRPr lang="ar-SA"/>
              </a:p>
            </c:txPr>
            <c:dLblPos val="outEnd"/>
            <c:showVal val="1"/>
          </c:dLbls>
          <c:cat>
            <c:strRef>
              <c:f>ورقة1!$B$1:$H$1</c:f>
              <c:strCache>
                <c:ptCount val="7"/>
                <c:pt idx="0">
                  <c:v>0-17</c:v>
                </c:pt>
                <c:pt idx="1">
                  <c:v>18-34</c:v>
                </c:pt>
                <c:pt idx="2">
                  <c:v>35-44</c:v>
                </c:pt>
                <c:pt idx="3">
                  <c:v>45-54</c:v>
                </c:pt>
                <c:pt idx="4">
                  <c:v>55-64</c:v>
                </c:pt>
                <c:pt idx="5">
                  <c:v>65-74</c:v>
                </c:pt>
                <c:pt idx="6">
                  <c:v>75 +</c:v>
                </c:pt>
              </c:strCache>
            </c:strRef>
          </c:cat>
          <c:val>
            <c:numRef>
              <c:f>ورقة1!$B$2:$H$2</c:f>
              <c:numCache>
                <c:formatCode>0.0</c:formatCode>
                <c:ptCount val="7"/>
                <c:pt idx="0">
                  <c:v>1.1000000000000001</c:v>
                </c:pt>
                <c:pt idx="1">
                  <c:v>1.9000000000000001</c:v>
                </c:pt>
                <c:pt idx="2">
                  <c:v>2.7</c:v>
                </c:pt>
                <c:pt idx="3">
                  <c:v>3.8</c:v>
                </c:pt>
                <c:pt idx="4">
                  <c:v>6</c:v>
                </c:pt>
                <c:pt idx="5">
                  <c:v>12</c:v>
                </c:pt>
                <c:pt idx="6">
                  <c:v>27.1</c:v>
                </c:pt>
              </c:numCache>
            </c:numRef>
          </c:val>
        </c:ser>
        <c:ser>
          <c:idx val="1"/>
          <c:order val="1"/>
          <c:tx>
            <c:strRef>
              <c:f>ورقة1!$A$3</c:f>
              <c:strCache>
                <c:ptCount val="1"/>
                <c:pt idx="0">
                  <c:v>Female</c:v>
                </c:pt>
              </c:strCache>
            </c:strRef>
          </c:tx>
          <c:spPr>
            <a:solidFill>
              <a:schemeClr val="accent2">
                <a:lumMod val="60000"/>
                <a:lumOff val="40000"/>
              </a:schemeClr>
            </a:solidFill>
          </c:spPr>
          <c:dLbls>
            <c:dLbl>
              <c:idx val="0"/>
              <c:layout>
                <c:manualLayout>
                  <c:x val="3.1384674542160652E-3"/>
                  <c:y val="3.7409275143747166E-2"/>
                </c:manualLayout>
              </c:layout>
              <c:showVal val="1"/>
            </c:dLbl>
            <c:dLbl>
              <c:idx val="1"/>
              <c:layout>
                <c:manualLayout>
                  <c:x val="1.5692337271080343E-2"/>
                  <c:y val="3.7409275143747166E-2"/>
                </c:manualLayout>
              </c:layout>
              <c:showVal val="1"/>
            </c:dLbl>
            <c:dLbl>
              <c:idx val="2"/>
              <c:layout>
                <c:manualLayout>
                  <c:x val="1.2553869816864516E-2"/>
                  <c:y val="3.7409275143747166E-2"/>
                </c:manualLayout>
              </c:layout>
              <c:showVal val="1"/>
            </c:dLbl>
            <c:dLbl>
              <c:idx val="3"/>
              <c:layout>
                <c:manualLayout>
                  <c:x val="9.4154023626487685E-3"/>
                  <c:y val="4.676159392968348E-2"/>
                </c:manualLayout>
              </c:layout>
              <c:showVal val="1"/>
            </c:dLbl>
            <c:dLbl>
              <c:idx val="4"/>
              <c:layout>
                <c:manualLayout>
                  <c:x val="1.5241283190584539E-2"/>
                  <c:y val="2.264092511448635E-2"/>
                </c:manualLayout>
              </c:layout>
              <c:showVal val="1"/>
            </c:dLbl>
            <c:dLbl>
              <c:idx val="5"/>
              <c:layout>
                <c:manualLayout>
                  <c:x val="9.6408448187547766E-3"/>
                  <c:y val="1.328896649425098E-2"/>
                </c:manualLayout>
              </c:layout>
              <c:showVal val="1"/>
            </c:dLbl>
            <c:dLbl>
              <c:idx val="6"/>
              <c:layout>
                <c:manualLayout>
                  <c:x val="1.5804972184830911E-2"/>
                  <c:y val="1.4272724277666213E-2"/>
                </c:manualLayout>
              </c:layout>
              <c:showVal val="1"/>
            </c:dLbl>
            <c:txPr>
              <a:bodyPr/>
              <a:lstStyle/>
              <a:p>
                <a:pPr>
                  <a:defRPr sz="700">
                    <a:latin typeface="Arial" pitchFamily="34" charset="0"/>
                    <a:cs typeface="Arial" pitchFamily="34" charset="0"/>
                  </a:defRPr>
                </a:pPr>
                <a:endParaRPr lang="ar-SA"/>
              </a:p>
            </c:txPr>
            <c:showVal val="1"/>
          </c:dLbls>
          <c:cat>
            <c:strRef>
              <c:f>ورقة1!$B$1:$H$1</c:f>
              <c:strCache>
                <c:ptCount val="7"/>
                <c:pt idx="0">
                  <c:v>0-17</c:v>
                </c:pt>
                <c:pt idx="1">
                  <c:v>18-34</c:v>
                </c:pt>
                <c:pt idx="2">
                  <c:v>35-44</c:v>
                </c:pt>
                <c:pt idx="3">
                  <c:v>45-54</c:v>
                </c:pt>
                <c:pt idx="4">
                  <c:v>55-64</c:v>
                </c:pt>
                <c:pt idx="5">
                  <c:v>65-74</c:v>
                </c:pt>
                <c:pt idx="6">
                  <c:v>75 +</c:v>
                </c:pt>
              </c:strCache>
            </c:strRef>
          </c:cat>
          <c:val>
            <c:numRef>
              <c:f>ورقة1!$B$3:$H$3</c:f>
              <c:numCache>
                <c:formatCode>0.0</c:formatCode>
                <c:ptCount val="7"/>
                <c:pt idx="0">
                  <c:v>0.8</c:v>
                </c:pt>
                <c:pt idx="1">
                  <c:v>0.9</c:v>
                </c:pt>
                <c:pt idx="2">
                  <c:v>1.4</c:v>
                </c:pt>
                <c:pt idx="3">
                  <c:v>2.4</c:v>
                </c:pt>
                <c:pt idx="4">
                  <c:v>5.5</c:v>
                </c:pt>
                <c:pt idx="5">
                  <c:v>13.9</c:v>
                </c:pt>
                <c:pt idx="6">
                  <c:v>30.8</c:v>
                </c:pt>
              </c:numCache>
            </c:numRef>
          </c:val>
        </c:ser>
        <c:dLbls>
          <c:showVal val="1"/>
        </c:dLbls>
        <c:axId val="74768384"/>
        <c:axId val="74770304"/>
      </c:barChart>
      <c:catAx>
        <c:axId val="74768384"/>
        <c:scaling>
          <c:orientation val="minMax"/>
        </c:scaling>
        <c:axPos val="b"/>
        <c:title>
          <c:tx>
            <c:rich>
              <a:bodyPr/>
              <a:lstStyle/>
              <a:p>
                <a:pPr>
                  <a:defRPr sz="800" b="0" i="0" u="none" strike="noStrike" baseline="0">
                    <a:solidFill>
                      <a:srgbClr val="000000"/>
                    </a:solidFill>
                    <a:latin typeface="Arial" pitchFamily="34" charset="0"/>
                    <a:ea typeface="Arial"/>
                    <a:cs typeface="Arial" pitchFamily="34" charset="0"/>
                  </a:defRPr>
                </a:pPr>
                <a:r>
                  <a:rPr lang="en-US" sz="800" b="1" i="0" u="none" strike="noStrike" baseline="0">
                    <a:solidFill>
                      <a:srgbClr val="000000"/>
                    </a:solidFill>
                    <a:latin typeface="Arial" pitchFamily="34" charset="0"/>
                    <a:cs typeface="Arial" pitchFamily="34" charset="0"/>
                  </a:rPr>
                  <a:t> Age Group</a:t>
                </a:r>
              </a:p>
            </c:rich>
          </c:tx>
          <c:layout>
            <c:manualLayout>
              <c:xMode val="edge"/>
              <c:yMode val="edge"/>
              <c:x val="0.41197761123235116"/>
              <c:y val="0.86193557015564171"/>
            </c:manualLayout>
          </c:layout>
        </c:title>
        <c:numFmt formatCode="General" sourceLinked="1"/>
        <c:tickLblPos val="nextTo"/>
        <c:txPr>
          <a:bodyPr rot="0"/>
          <a:lstStyle/>
          <a:p>
            <a:pPr rtl="0">
              <a:defRPr>
                <a:latin typeface="Arial" pitchFamily="34" charset="0"/>
                <a:cs typeface="Arial" pitchFamily="34" charset="0"/>
              </a:defRPr>
            </a:pPr>
            <a:endParaRPr lang="ar-SA"/>
          </a:p>
        </c:txPr>
        <c:crossAx val="74770304"/>
        <c:crosses val="autoZero"/>
        <c:auto val="1"/>
        <c:lblAlgn val="ctr"/>
        <c:lblOffset val="100"/>
      </c:catAx>
      <c:valAx>
        <c:axId val="74770304"/>
        <c:scaling>
          <c:orientation val="minMax"/>
        </c:scaling>
        <c:axPos val="l"/>
        <c:title>
          <c:tx>
            <c:rich>
              <a:bodyPr/>
              <a:lstStyle/>
              <a:p>
                <a:pPr>
                  <a:defRPr sz="790" b="1" i="0" u="none" strike="noStrike" baseline="0">
                    <a:solidFill>
                      <a:srgbClr val="000000"/>
                    </a:solidFill>
                    <a:latin typeface="Calibri"/>
                    <a:ea typeface="Calibri"/>
                    <a:cs typeface="Calibri"/>
                  </a:defRPr>
                </a:pPr>
                <a:r>
                  <a:rPr lang="en-GB"/>
                  <a:t>Percentage</a:t>
                </a:r>
              </a:p>
            </c:rich>
          </c:tx>
          <c:layout>
            <c:manualLayout>
              <c:xMode val="edge"/>
              <c:yMode val="edge"/>
              <c:x val="9.4862600006324505E-3"/>
              <c:y val="0.1234873029406356"/>
            </c:manualLayout>
          </c:layout>
        </c:title>
        <c:numFmt formatCode="0.0" sourceLinked="1"/>
        <c:tickLblPos val="nextTo"/>
        <c:txPr>
          <a:bodyPr/>
          <a:lstStyle/>
          <a:p>
            <a:pPr>
              <a:defRPr>
                <a:latin typeface="Arial" pitchFamily="34" charset="0"/>
                <a:cs typeface="Arial" pitchFamily="34" charset="0"/>
              </a:defRPr>
            </a:pPr>
            <a:endParaRPr lang="ar-SA"/>
          </a:p>
        </c:txPr>
        <c:crossAx val="74768384"/>
        <c:crosses val="autoZero"/>
        <c:crossBetween val="between"/>
      </c:valAx>
    </c:plotArea>
    <c:legend>
      <c:legendPos val="r"/>
      <c:layout>
        <c:manualLayout>
          <c:xMode val="edge"/>
          <c:yMode val="edge"/>
          <c:x val="0.33767624830030651"/>
          <c:y val="4.9692896668171532E-2"/>
          <c:w val="0.24644594124531014"/>
          <c:h val="0.12913586438637839"/>
        </c:manualLayout>
      </c:layout>
      <c:txPr>
        <a:bodyPr/>
        <a:lstStyle/>
        <a:p>
          <a:pPr>
            <a:defRPr sz="800">
              <a:latin typeface="Arial" pitchFamily="34" charset="0"/>
              <a:cs typeface="Arial" pitchFamily="34" charset="0"/>
            </a:defRPr>
          </a:pPr>
          <a:endParaRPr lang="ar-SA"/>
        </a:p>
      </c:txPr>
    </c:legend>
    <c:plotVisOnly val="1"/>
    <c:dispBlanksAs val="gap"/>
  </c:chart>
  <c:spPr>
    <a:ln>
      <a:noFill/>
    </a:ln>
  </c:spPr>
  <c:txPr>
    <a:bodyPr/>
    <a:lstStyle/>
    <a:p>
      <a:pPr>
        <a:defRPr sz="793">
          <a:cs typeface="+mn-cs"/>
        </a:defRPr>
      </a:pPr>
      <a:endParaRPr lang="ar-SA"/>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905913918337275"/>
          <c:y val="0.15119418583315394"/>
          <c:w val="0.8667947883127296"/>
          <c:h val="0.73679694293532461"/>
        </c:manualLayout>
      </c:layout>
      <c:areaChart>
        <c:grouping val="standard"/>
        <c:ser>
          <c:idx val="0"/>
          <c:order val="0"/>
          <c:tx>
            <c:strRef>
              <c:f>Sheet1!$A$2</c:f>
              <c:strCache>
                <c:ptCount val="1"/>
                <c:pt idx="0">
                  <c:v>Imports</c:v>
                </c:pt>
              </c:strCache>
            </c:strRef>
          </c:tx>
          <c:spPr>
            <a:solidFill>
              <a:srgbClr val="4BACC6">
                <a:lumMod val="20000"/>
                <a:lumOff val="80000"/>
                <a:alpha val="70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layout>
                <c:manualLayout>
                  <c:x val="0"/>
                  <c:y val="-0.17831813576494657"/>
                </c:manualLayout>
              </c:layout>
              <c:showVal val="1"/>
            </c:dLbl>
            <c:numFmt formatCode="#,##0.0" sourceLinked="0"/>
            <c:showVal val="1"/>
          </c:dLbls>
          <c:cat>
            <c:numRef>
              <c:f>Sheet1!$B$1:$S$1</c:f>
              <c:numCache>
                <c:formatCode>00</c:formatCode>
                <c:ptCount val="1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numCache>
            </c:numRef>
          </c:cat>
          <c:val>
            <c:numRef>
              <c:f>Sheet1!$B$2:$S$2</c:f>
              <c:numCache>
                <c:formatCode>General</c:formatCode>
                <c:ptCount val="18"/>
                <c:pt idx="0">
                  <c:v>2382.8000000000002</c:v>
                </c:pt>
                <c:pt idx="1">
                  <c:v>2033.6</c:v>
                </c:pt>
                <c:pt idx="2">
                  <c:v>1515.6</c:v>
                </c:pt>
                <c:pt idx="3">
                  <c:v>1800.3</c:v>
                </c:pt>
                <c:pt idx="4">
                  <c:v>2373.1999999999998</c:v>
                </c:pt>
                <c:pt idx="5">
                  <c:v>2667.6</c:v>
                </c:pt>
                <c:pt idx="6">
                  <c:v>2758.7</c:v>
                </c:pt>
                <c:pt idx="7">
                  <c:v>3284</c:v>
                </c:pt>
                <c:pt idx="8">
                  <c:v>3466.2</c:v>
                </c:pt>
                <c:pt idx="9">
                  <c:v>3600.8</c:v>
                </c:pt>
                <c:pt idx="10">
                  <c:v>3958.5</c:v>
                </c:pt>
                <c:pt idx="11">
                  <c:v>4373.6000000000004</c:v>
                </c:pt>
                <c:pt idx="12">
                  <c:v>4697.4000000000005</c:v>
                </c:pt>
                <c:pt idx="13">
                  <c:v>5163.9000000000005</c:v>
                </c:pt>
                <c:pt idx="14">
                  <c:v>5683.2</c:v>
                </c:pt>
                <c:pt idx="15">
                  <c:v>5225.5</c:v>
                </c:pt>
                <c:pt idx="16" formatCode="0.0">
                  <c:v>5363.8</c:v>
                </c:pt>
                <c:pt idx="17" formatCode="#,##0.0">
                  <c:v>5853.9</c:v>
                </c:pt>
              </c:numCache>
            </c:numRef>
          </c:val>
        </c:ser>
        <c:ser>
          <c:idx val="1"/>
          <c:order val="1"/>
          <c:tx>
            <c:strRef>
              <c:f>Sheet1!$A$3</c:f>
              <c:strCache>
                <c:ptCount val="1"/>
                <c:pt idx="0">
                  <c:v>Exports</c:v>
                </c:pt>
              </c:strCache>
            </c:strRef>
          </c:tx>
          <c:spPr>
            <a:solidFill>
              <a:srgbClr val="4BACC6">
                <a:lumMod val="75000"/>
                <a:alpha val="31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layout>
                <c:manualLayout>
                  <c:x val="0"/>
                  <c:y val="-5.6737588652482192E-2"/>
                </c:manualLayout>
              </c:layout>
              <c:showVal val="1"/>
            </c:dLbl>
            <c:showVal val="1"/>
          </c:dLbls>
          <c:cat>
            <c:numRef>
              <c:f>Sheet1!$B$1:$S$1</c:f>
              <c:numCache>
                <c:formatCode>00</c:formatCode>
                <c:ptCount val="1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numCache>
            </c:numRef>
          </c:cat>
          <c:val>
            <c:numRef>
              <c:f>Sheet1!$B$3:$S$3</c:f>
              <c:numCache>
                <c:formatCode>General</c:formatCode>
                <c:ptCount val="18"/>
                <c:pt idx="0">
                  <c:v>400.9</c:v>
                </c:pt>
                <c:pt idx="1">
                  <c:v>290.3</c:v>
                </c:pt>
                <c:pt idx="2">
                  <c:v>240.9</c:v>
                </c:pt>
                <c:pt idx="3">
                  <c:v>279.7</c:v>
                </c:pt>
                <c:pt idx="4">
                  <c:v>312.7</c:v>
                </c:pt>
                <c:pt idx="5">
                  <c:v>335.4</c:v>
                </c:pt>
                <c:pt idx="6">
                  <c:v>366.7</c:v>
                </c:pt>
                <c:pt idx="7">
                  <c:v>513</c:v>
                </c:pt>
                <c:pt idx="8">
                  <c:v>558.4</c:v>
                </c:pt>
                <c:pt idx="9">
                  <c:v>518.4</c:v>
                </c:pt>
                <c:pt idx="10">
                  <c:v>575.5</c:v>
                </c:pt>
                <c:pt idx="11">
                  <c:v>745.7</c:v>
                </c:pt>
                <c:pt idx="12">
                  <c:v>782.4</c:v>
                </c:pt>
                <c:pt idx="13">
                  <c:v>900.6</c:v>
                </c:pt>
                <c:pt idx="14">
                  <c:v>943.7</c:v>
                </c:pt>
                <c:pt idx="15">
                  <c:v>957.8</c:v>
                </c:pt>
                <c:pt idx="16" formatCode="0.0">
                  <c:v>926.5</c:v>
                </c:pt>
                <c:pt idx="17" formatCode="#,##0.0">
                  <c:v>1064.9000000000001</c:v>
                </c:pt>
              </c:numCache>
            </c:numRef>
          </c:val>
        </c:ser>
        <c:ser>
          <c:idx val="2"/>
          <c:order val="2"/>
          <c:tx>
            <c:strRef>
              <c:f>Sheet1!$A$4</c:f>
              <c:strCache>
                <c:ptCount val="1"/>
                <c:pt idx="0">
                  <c:v>Net Trade Balance</c:v>
                </c:pt>
              </c:strCache>
            </c:strRef>
          </c:tx>
          <c:spPr>
            <a:solidFill>
              <a:srgbClr val="4BACC6">
                <a:lumMod val="75000"/>
                <a:alpha val="75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layout>
                <c:manualLayout>
                  <c:x val="0"/>
                  <c:y val="0.1458966565349544"/>
                </c:manualLayout>
              </c:layout>
              <c:tx>
                <c:rich>
                  <a:bodyPr/>
                  <a:lstStyle/>
                  <a:p>
                    <a:r>
                      <a:rPr lang="en-US"/>
                      <a:t>-4,789</a:t>
                    </a:r>
                  </a:p>
                </c:rich>
              </c:tx>
              <c:showVal val="1"/>
            </c:dLbl>
            <c:dLbl>
              <c:idx val="21"/>
              <c:layout>
                <c:manualLayout>
                  <c:x val="0"/>
                  <c:y val="9.7264437689969702E-2"/>
                </c:manualLayout>
              </c:layout>
              <c:numFmt formatCode="#,##0.0" sourceLinked="0"/>
              <c:spPr/>
              <c:txPr>
                <a:bodyPr/>
                <a:lstStyle/>
                <a:p>
                  <a:pPr>
                    <a:defRPr/>
                  </a:pPr>
                  <a:endParaRPr lang="ar-SA"/>
                </a:p>
              </c:txPr>
              <c:showVal val="1"/>
            </c:dLbl>
            <c:showVal val="1"/>
          </c:dLbls>
          <c:cat>
            <c:numRef>
              <c:f>Sheet1!$B$1:$S$1</c:f>
              <c:numCache>
                <c:formatCode>00</c:formatCode>
                <c:ptCount val="1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numCache>
            </c:numRef>
          </c:cat>
          <c:val>
            <c:numRef>
              <c:f>Sheet1!$B$4:$S$4</c:f>
              <c:numCache>
                <c:formatCode>General</c:formatCode>
                <c:ptCount val="18"/>
                <c:pt idx="0">
                  <c:v>-1981.9</c:v>
                </c:pt>
                <c:pt idx="1">
                  <c:v>-1743.3</c:v>
                </c:pt>
                <c:pt idx="2">
                  <c:v>-1274.6999999999998</c:v>
                </c:pt>
                <c:pt idx="3">
                  <c:v>-1520.6</c:v>
                </c:pt>
                <c:pt idx="4">
                  <c:v>-2060.5</c:v>
                </c:pt>
                <c:pt idx="5">
                  <c:v>-2332.1999999999998</c:v>
                </c:pt>
                <c:pt idx="6">
                  <c:v>-2392</c:v>
                </c:pt>
                <c:pt idx="7">
                  <c:v>-2771</c:v>
                </c:pt>
                <c:pt idx="8">
                  <c:v>-2907.7999999999997</c:v>
                </c:pt>
                <c:pt idx="9">
                  <c:v>-3082.4</c:v>
                </c:pt>
                <c:pt idx="10">
                  <c:v>-3383</c:v>
                </c:pt>
                <c:pt idx="11">
                  <c:v>-3627.9000000000005</c:v>
                </c:pt>
                <c:pt idx="12">
                  <c:v>-3914.9999999999995</c:v>
                </c:pt>
                <c:pt idx="13">
                  <c:v>-4263.2999999999993</c:v>
                </c:pt>
                <c:pt idx="14">
                  <c:v>-4739.5</c:v>
                </c:pt>
                <c:pt idx="15">
                  <c:v>-4267.7</c:v>
                </c:pt>
                <c:pt idx="16" formatCode="0.0">
                  <c:v>-4437.3</c:v>
                </c:pt>
                <c:pt idx="17" formatCode="#,##0.0">
                  <c:v>-4789</c:v>
                </c:pt>
              </c:numCache>
            </c:numRef>
          </c:val>
        </c:ser>
        <c:axId val="259009920"/>
        <c:axId val="258876928"/>
      </c:areaChart>
      <c:catAx>
        <c:axId val="259009920"/>
        <c:scaling>
          <c:orientation val="minMax"/>
        </c:scaling>
        <c:axPos val="b"/>
        <c:majorGridlines>
          <c:spPr>
            <a:ln w="12693">
              <a:solidFill>
                <a:schemeClr val="bg1">
                  <a:lumMod val="95000"/>
                </a:schemeClr>
              </a:solidFill>
              <a:prstDash val="solid"/>
            </a:ln>
          </c:spPr>
        </c:majorGridlines>
        <c:title>
          <c:tx>
            <c:rich>
              <a:bodyPr/>
              <a:lstStyle/>
              <a:p>
                <a:pPr>
                  <a:defRPr b="1"/>
                </a:pPr>
                <a:r>
                  <a:rPr lang="en-US" b="1"/>
                  <a:t>Year</a:t>
                </a:r>
              </a:p>
            </c:rich>
          </c:tx>
          <c:layout>
            <c:manualLayout>
              <c:xMode val="edge"/>
              <c:yMode val="edge"/>
              <c:x val="0.49490890896807793"/>
              <c:y val="0.92521281085619989"/>
            </c:manualLayout>
          </c:layout>
          <c:spPr>
            <a:noFill/>
            <a:ln w="25386">
              <a:noFill/>
            </a:ln>
          </c:spPr>
        </c:title>
        <c:numFmt formatCode="00" sourceLinked="1"/>
        <c:tickLblPos val="nextTo"/>
        <c:spPr>
          <a:ln w="3173">
            <a:solidFill>
              <a:srgbClr val="000000"/>
            </a:solidFill>
            <a:prstDash val="solid"/>
          </a:ln>
        </c:spPr>
        <c:txPr>
          <a:bodyPr rot="0" vert="horz"/>
          <a:lstStyle/>
          <a:p>
            <a:pPr>
              <a:defRPr/>
            </a:pPr>
            <a:endParaRPr lang="ar-SA"/>
          </a:p>
        </c:txPr>
        <c:crossAx val="258876928"/>
        <c:crosses val="autoZero"/>
        <c:auto val="1"/>
        <c:lblAlgn val="ctr"/>
        <c:lblOffset val="100"/>
        <c:tickLblSkip val="1"/>
        <c:tickMarkSkip val="1"/>
      </c:catAx>
      <c:valAx>
        <c:axId val="258876928"/>
        <c:scaling>
          <c:orientation val="minMax"/>
        </c:scaling>
        <c:axPos val="l"/>
        <c:majorGridlines>
          <c:spPr>
            <a:ln w="12693">
              <a:solidFill>
                <a:schemeClr val="bg1">
                  <a:lumMod val="95000"/>
                </a:schemeClr>
              </a:solidFill>
              <a:prstDash val="solid"/>
            </a:ln>
          </c:spPr>
        </c:majorGridlines>
        <c:title>
          <c:tx>
            <c:rich>
              <a:bodyPr/>
              <a:lstStyle/>
              <a:p>
                <a:pPr>
                  <a:defRPr b="1"/>
                </a:pPr>
                <a:r>
                  <a:rPr lang="en-US" b="1"/>
                  <a:t>Value in </a:t>
                </a:r>
                <a:r>
                  <a:rPr lang="en-US" sz="800" b="1" i="0" u="none" strike="noStrike" baseline="0"/>
                  <a:t>USD</a:t>
                </a:r>
                <a:r>
                  <a:rPr lang="en-US" b="1"/>
                  <a:t> Million</a:t>
                </a:r>
              </a:p>
            </c:rich>
          </c:tx>
          <c:layout>
            <c:manualLayout>
              <c:xMode val="edge"/>
              <c:yMode val="edge"/>
              <c:x val="1.2297276423452038E-3"/>
              <c:y val="0.24831867722709391"/>
            </c:manualLayout>
          </c:layout>
          <c:spPr>
            <a:noFill/>
            <a:ln w="25386">
              <a:noFill/>
            </a:ln>
          </c:spPr>
        </c:title>
        <c:numFmt formatCode="General" sourceLinked="1"/>
        <c:tickLblPos val="nextTo"/>
        <c:spPr>
          <a:ln w="3173">
            <a:solidFill>
              <a:srgbClr val="000000"/>
            </a:solidFill>
            <a:prstDash val="solid"/>
          </a:ln>
        </c:spPr>
        <c:txPr>
          <a:bodyPr rot="0" vert="horz"/>
          <a:lstStyle/>
          <a:p>
            <a:pPr>
              <a:defRPr/>
            </a:pPr>
            <a:endParaRPr lang="ar-SA"/>
          </a:p>
        </c:txPr>
        <c:crossAx val="259009920"/>
        <c:crosses val="autoZero"/>
        <c:crossBetween val="midCat"/>
      </c:valAx>
      <c:spPr>
        <a:noFill/>
        <a:ln w="25386">
          <a:noFill/>
        </a:ln>
      </c:spPr>
    </c:plotArea>
    <c:legend>
      <c:legendPos val="r"/>
      <c:layout>
        <c:manualLayout>
          <c:xMode val="edge"/>
          <c:yMode val="edge"/>
          <c:x val="0.12828432637832021"/>
          <c:y val="2.9759276480652092E-2"/>
          <c:w val="0.71914081796970131"/>
          <c:h val="7.2402970905235481E-2"/>
        </c:manualLayout>
      </c:layout>
      <c:spPr>
        <a:noFill/>
        <a:ln w="3173">
          <a:solidFill>
            <a:srgbClr val="000000"/>
          </a:solidFill>
          <a:prstDash val="solid"/>
        </a:ln>
      </c:spPr>
    </c:legend>
    <c:plotVisOnly val="1"/>
    <c:dispBlanksAs val="zero"/>
  </c:chart>
  <c:spPr>
    <a:ln w="3173">
      <a:solidFill>
        <a:sysClr val="windowText" lastClr="000000"/>
      </a:solidFill>
      <a:prstDash val="soli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9.3772706377804743E-2"/>
          <c:y val="0.13275568842155652"/>
          <c:w val="0.87545206113941643"/>
          <c:h val="0.68262154730660185"/>
        </c:manualLayout>
      </c:layout>
      <c:lineChart>
        <c:grouping val="standard"/>
        <c:ser>
          <c:idx val="0"/>
          <c:order val="0"/>
          <c:tx>
            <c:strRef>
              <c:f>Sheet1!$A$2</c:f>
              <c:strCache>
                <c:ptCount val="1"/>
                <c:pt idx="0">
                  <c:v>Full Employment</c:v>
                </c:pt>
              </c:strCache>
            </c:strRef>
          </c:tx>
          <c:spPr>
            <a:ln w="1269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3.5310734463276844E-2"/>
                  <c:y val="-7.0287914795550716E-2"/>
                </c:manualLayout>
              </c:layout>
              <c:showVal val="1"/>
            </c:dLbl>
            <c:dLbl>
              <c:idx val="1"/>
              <c:layout>
                <c:manualLayout>
                  <c:x val="-2.9425612052730695E-2"/>
                  <c:y val="-7.0287914795550716E-2"/>
                </c:manualLayout>
              </c:layout>
              <c:showVal val="1"/>
            </c:dLbl>
            <c:dLbl>
              <c:idx val="2"/>
              <c:layout>
                <c:manualLayout>
                  <c:x val="-2.6483050847457636E-2"/>
                  <c:y val="-5.6230331836442979E-2"/>
                </c:manualLayout>
              </c:layout>
              <c:showVal val="1"/>
            </c:dLbl>
            <c:dLbl>
              <c:idx val="3"/>
              <c:layout>
                <c:manualLayout>
                  <c:x val="-3.2368173258003792E-2"/>
                  <c:y val="-7.0287914795550729E-2"/>
                </c:manualLayout>
              </c:layout>
              <c:showVal val="1"/>
            </c:dLbl>
            <c:dLbl>
              <c:idx val="4"/>
              <c:layout>
                <c:manualLayout>
                  <c:x val="-5.0023540489642186E-2"/>
                  <c:y val="-5.6230331836441036E-2"/>
                </c:manualLayout>
              </c:layout>
              <c:showVal val="1"/>
            </c:dLbl>
            <c:txPr>
              <a:bodyPr/>
              <a:lstStyle/>
              <a:p>
                <a:pPr>
                  <a:defRPr sz="800"/>
                </a:pPr>
                <a:endParaRPr lang="ar-SA"/>
              </a:p>
            </c:txPr>
            <c:showVal val="1"/>
          </c:dLbls>
          <c:cat>
            <c:strRef>
              <c:f>Sheet1!$B$1:$F$1</c:f>
              <c:strCache>
                <c:ptCount val="5"/>
                <c:pt idx="0">
                  <c:v>15-24</c:v>
                </c:pt>
                <c:pt idx="1">
                  <c:v>25-34</c:v>
                </c:pt>
                <c:pt idx="2">
                  <c:v>35-44</c:v>
                </c:pt>
                <c:pt idx="3">
                  <c:v>45-54</c:v>
                </c:pt>
                <c:pt idx="4">
                  <c:v>55+</c:v>
                </c:pt>
              </c:strCache>
            </c:strRef>
          </c:cat>
          <c:val>
            <c:numRef>
              <c:f>Sheet1!$B$2:$F$2</c:f>
              <c:numCache>
                <c:formatCode>0.0</c:formatCode>
                <c:ptCount val="5"/>
                <c:pt idx="0">
                  <c:v>53</c:v>
                </c:pt>
                <c:pt idx="1">
                  <c:v>64.400000000000006</c:v>
                </c:pt>
                <c:pt idx="2">
                  <c:v>82.3</c:v>
                </c:pt>
                <c:pt idx="3">
                  <c:v>85.5</c:v>
                </c:pt>
                <c:pt idx="4">
                  <c:v>85.5</c:v>
                </c:pt>
              </c:numCache>
            </c:numRef>
          </c:val>
          <c:smooth val="1"/>
        </c:ser>
        <c:ser>
          <c:idx val="1"/>
          <c:order val="1"/>
          <c:tx>
            <c:strRef>
              <c:f>Sheet1!$A$3</c:f>
              <c:strCache>
                <c:ptCount val="1"/>
                <c:pt idx="0">
                  <c:v>Time Related Underemployment</c:v>
                </c:pt>
              </c:strCache>
            </c:strRef>
          </c:tx>
          <c:spPr>
            <a:ln w="12691">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2.6483050847457636E-2"/>
                  <c:y val="-6.3259123315995647E-2"/>
                </c:manualLayout>
              </c:layout>
              <c:showVal val="1"/>
            </c:dLbl>
            <c:dLbl>
              <c:idx val="1"/>
              <c:layout>
                <c:manualLayout>
                  <c:x val="-3.2368173258003792E-2"/>
                  <c:y val="-4.9201540356885495E-2"/>
                </c:manualLayout>
              </c:layout>
              <c:showVal val="1"/>
            </c:dLbl>
            <c:dLbl>
              <c:idx val="2"/>
              <c:layout>
                <c:manualLayout>
                  <c:x val="-2.3540489642184328E-2"/>
                  <c:y val="-3.5143957397775392E-2"/>
                </c:manualLayout>
              </c:layout>
              <c:showVal val="1"/>
            </c:dLbl>
            <c:dLbl>
              <c:idx val="3"/>
              <c:layout>
                <c:manualLayout>
                  <c:x val="-1.4712806026365349E-2"/>
                  <c:y val="-2.8115165918220292E-2"/>
                </c:manualLayout>
              </c:layout>
              <c:showVal val="1"/>
            </c:dLbl>
            <c:dLbl>
              <c:idx val="4"/>
              <c:layout>
                <c:manualLayout>
                  <c:x val="8.8276836158193116E-3"/>
                  <c:y val="-5.6230331836441036E-2"/>
                </c:manualLayout>
              </c:layout>
              <c:showVal val="1"/>
            </c:dLbl>
            <c:txPr>
              <a:bodyPr/>
              <a:lstStyle/>
              <a:p>
                <a:pPr>
                  <a:defRPr sz="800"/>
                </a:pPr>
                <a:endParaRPr lang="ar-SA"/>
              </a:p>
            </c:txPr>
            <c:showVal val="1"/>
          </c:dLbls>
          <c:cat>
            <c:strRef>
              <c:f>Sheet1!$B$1:$F$1</c:f>
              <c:strCache>
                <c:ptCount val="5"/>
                <c:pt idx="0">
                  <c:v>15-24</c:v>
                </c:pt>
                <c:pt idx="1">
                  <c:v>25-34</c:v>
                </c:pt>
                <c:pt idx="2">
                  <c:v>35-44</c:v>
                </c:pt>
                <c:pt idx="3">
                  <c:v>45-54</c:v>
                </c:pt>
                <c:pt idx="4">
                  <c:v>55+</c:v>
                </c:pt>
              </c:strCache>
            </c:strRef>
          </c:cat>
          <c:val>
            <c:numRef>
              <c:f>Sheet1!$B$3:$F$3</c:f>
              <c:numCache>
                <c:formatCode>General</c:formatCode>
                <c:ptCount val="5"/>
                <c:pt idx="0">
                  <c:v>2.2999999999999998</c:v>
                </c:pt>
                <c:pt idx="1">
                  <c:v>2.2999999999999998</c:v>
                </c:pt>
                <c:pt idx="2">
                  <c:v>1.5</c:v>
                </c:pt>
                <c:pt idx="3">
                  <c:v>1.2</c:v>
                </c:pt>
                <c:pt idx="4">
                  <c:v>1.1000000000000001</c:v>
                </c:pt>
              </c:numCache>
            </c:numRef>
          </c:val>
          <c:smooth val="1"/>
        </c:ser>
        <c:ser>
          <c:idx val="2"/>
          <c:order val="2"/>
          <c:tx>
            <c:strRef>
              <c:f>Sheet1!$A$4</c:f>
              <c:strCache>
                <c:ptCount val="1"/>
                <c:pt idx="0">
                  <c:v>Unemployment </c:v>
                </c:pt>
              </c:strCache>
            </c:strRef>
          </c:tx>
          <c:spPr>
            <a:ln w="12691">
              <a:solidFill>
                <a:srgbClr val="003366"/>
              </a:solidFill>
              <a:prstDash val="solid"/>
            </a:ln>
          </c:spPr>
          <c:marker>
            <c:symbol val="square"/>
            <c:size val="4"/>
            <c:spPr>
              <a:solidFill>
                <a:srgbClr val="FFFF00"/>
              </a:solidFill>
              <a:ln>
                <a:solidFill>
                  <a:srgbClr val="0000FF"/>
                </a:solidFill>
                <a:prstDash val="solid"/>
              </a:ln>
            </c:spPr>
          </c:marker>
          <c:dLbls>
            <c:dLbl>
              <c:idx val="0"/>
              <c:layout>
                <c:manualLayout>
                  <c:x val="-5.0023540489642186E-2"/>
                  <c:y val="9.1374289234215839E-2"/>
                </c:manualLayout>
              </c:layout>
              <c:showVal val="1"/>
            </c:dLbl>
            <c:dLbl>
              <c:idx val="1"/>
              <c:layout>
                <c:manualLayout>
                  <c:x val="-8.5334274952919023E-2"/>
                  <c:y val="7.0287914795550716E-2"/>
                </c:manualLayout>
              </c:layout>
              <c:showVal val="1"/>
            </c:dLbl>
            <c:dLbl>
              <c:idx val="2"/>
              <c:layout>
                <c:manualLayout>
                  <c:x val="-1.1770244821092278E-2"/>
                  <c:y val="-5.6230331836442979E-2"/>
                </c:manualLayout>
              </c:layout>
              <c:showVal val="1"/>
            </c:dLbl>
            <c:dLbl>
              <c:idx val="3"/>
              <c:layout>
                <c:manualLayout>
                  <c:x val="-1.1770244821092278E-2"/>
                  <c:y val="-5.6230331836442979E-2"/>
                </c:manualLayout>
              </c:layout>
              <c:showVal val="1"/>
            </c:dLbl>
            <c:dLbl>
              <c:idx val="4"/>
              <c:layout>
                <c:manualLayout>
                  <c:x val="-5.8851224105461432E-2"/>
                  <c:y val="-6.3259123315995647E-2"/>
                </c:manualLayout>
              </c:layout>
              <c:showVal val="1"/>
            </c:dLbl>
            <c:txPr>
              <a:bodyPr/>
              <a:lstStyle/>
              <a:p>
                <a:pPr>
                  <a:defRPr sz="800"/>
                </a:pPr>
                <a:endParaRPr lang="ar-SA"/>
              </a:p>
            </c:txPr>
            <c:showVal val="1"/>
          </c:dLbls>
          <c:cat>
            <c:strRef>
              <c:f>Sheet1!$B$1:$F$1</c:f>
              <c:strCache>
                <c:ptCount val="5"/>
                <c:pt idx="0">
                  <c:v>15-24</c:v>
                </c:pt>
                <c:pt idx="1">
                  <c:v>25-34</c:v>
                </c:pt>
                <c:pt idx="2">
                  <c:v>35-44</c:v>
                </c:pt>
                <c:pt idx="3">
                  <c:v>45-54</c:v>
                </c:pt>
                <c:pt idx="4">
                  <c:v>55+</c:v>
                </c:pt>
              </c:strCache>
            </c:strRef>
          </c:cat>
          <c:val>
            <c:numRef>
              <c:f>Sheet1!$B$4:$F$4</c:f>
              <c:numCache>
                <c:formatCode>General</c:formatCode>
                <c:ptCount val="5"/>
                <c:pt idx="0">
                  <c:v>44.7</c:v>
                </c:pt>
                <c:pt idx="1">
                  <c:v>33.300000000000004</c:v>
                </c:pt>
                <c:pt idx="2">
                  <c:v>16.2</c:v>
                </c:pt>
                <c:pt idx="3">
                  <c:v>13.3</c:v>
                </c:pt>
                <c:pt idx="4">
                  <c:v>13.4</c:v>
                </c:pt>
              </c:numCache>
            </c:numRef>
          </c:val>
          <c:smooth val="1"/>
        </c:ser>
        <c:dLbls>
          <c:showVal val="1"/>
        </c:dLbls>
        <c:marker val="1"/>
        <c:axId val="156955392"/>
        <c:axId val="156957312"/>
      </c:lineChart>
      <c:catAx>
        <c:axId val="156955392"/>
        <c:scaling>
          <c:orientation val="minMax"/>
        </c:scaling>
        <c:axPos val="b"/>
        <c:title>
          <c:tx>
            <c:rich>
              <a:bodyPr/>
              <a:lstStyle/>
              <a:p>
                <a:pPr>
                  <a:defRPr sz="800" b="1" i="0" u="none" strike="noStrike" baseline="0">
                    <a:solidFill>
                      <a:srgbClr val="000000"/>
                    </a:solidFill>
                    <a:latin typeface="Arial"/>
                    <a:ea typeface="Arial"/>
                    <a:cs typeface="Arial"/>
                  </a:defRPr>
                </a:pPr>
                <a:r>
                  <a:rPr lang="en-US" sz="800"/>
                  <a:t>Age Groups</a:t>
                </a:r>
              </a:p>
            </c:rich>
          </c:tx>
          <c:layout>
            <c:manualLayout>
              <c:xMode val="edge"/>
              <c:yMode val="edge"/>
              <c:x val="0.39056530801298744"/>
              <c:y val="0.91230158730158761"/>
            </c:manualLayout>
          </c:layout>
          <c:spPr>
            <a:noFill/>
            <a:ln w="25382">
              <a:noFill/>
            </a:ln>
          </c:spPr>
        </c:title>
        <c:numFmt formatCode="General" sourceLinked="1"/>
        <c:tickLblPos val="nextTo"/>
        <c:spPr>
          <a:ln w="3173">
            <a:solidFill>
              <a:srgbClr val="000000"/>
            </a:solidFill>
            <a:prstDash val="solid"/>
          </a:ln>
        </c:spPr>
        <c:txPr>
          <a:bodyPr rot="0" vert="horz"/>
          <a:lstStyle/>
          <a:p>
            <a:pPr rtl="0">
              <a:defRPr sz="800" b="0" i="0" u="none" strike="noStrike" baseline="0">
                <a:solidFill>
                  <a:srgbClr val="000000"/>
                </a:solidFill>
                <a:latin typeface="Arial"/>
                <a:ea typeface="Arial"/>
                <a:cs typeface="Arial"/>
              </a:defRPr>
            </a:pPr>
            <a:endParaRPr lang="ar-SA"/>
          </a:p>
        </c:txPr>
        <c:crossAx val="156957312"/>
        <c:crosses val="autoZero"/>
        <c:auto val="1"/>
        <c:lblAlgn val="ctr"/>
        <c:lblOffset val="100"/>
        <c:tickLblSkip val="1"/>
        <c:tickMarkSkip val="1"/>
      </c:catAx>
      <c:valAx>
        <c:axId val="156957312"/>
        <c:scaling>
          <c:orientation val="minMax"/>
          <c:max val="100"/>
          <c:min val="0"/>
        </c:scaling>
        <c:axPos val="l"/>
        <c:title>
          <c:tx>
            <c:rich>
              <a:bodyPr/>
              <a:lstStyle/>
              <a:p>
                <a:pPr>
                  <a:defRPr sz="800" b="1" i="0" u="none" strike="noStrike" baseline="0">
                    <a:solidFill>
                      <a:srgbClr val="000000"/>
                    </a:solidFill>
                    <a:latin typeface="Arial"/>
                    <a:ea typeface="Arial"/>
                    <a:cs typeface="Arial"/>
                  </a:defRPr>
                </a:pPr>
                <a:r>
                  <a:rPr lang="en-US" sz="800"/>
                  <a:t>Percent</a:t>
                </a:r>
              </a:p>
            </c:rich>
          </c:tx>
          <c:layout>
            <c:manualLayout>
              <c:xMode val="edge"/>
              <c:yMode val="edge"/>
              <c:x val="3.1842219404778493E-3"/>
              <c:y val="0.28075594375638524"/>
            </c:manualLayout>
          </c:layout>
          <c:spPr>
            <a:noFill/>
            <a:ln w="25382">
              <a:noFill/>
            </a:ln>
          </c:spPr>
        </c:title>
        <c:numFmt formatCode="0" sourceLinked="0"/>
        <c:tickLblPos val="nextTo"/>
        <c:spPr>
          <a:ln w="3173">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156955392"/>
        <c:crosses val="autoZero"/>
        <c:crossBetween val="between"/>
        <c:majorUnit val="20"/>
        <c:minorUnit val="2"/>
      </c:valAx>
      <c:spPr>
        <a:noFill/>
        <a:ln w="25382">
          <a:noFill/>
        </a:ln>
      </c:spPr>
    </c:plotArea>
    <c:legend>
      <c:legendPos val="t"/>
      <c:layout>
        <c:manualLayout>
          <c:xMode val="edge"/>
          <c:yMode val="edge"/>
          <c:x val="2.5974025974026406E-2"/>
          <c:y val="1.1194029850746271E-2"/>
          <c:w val="0.89999995366050234"/>
          <c:h val="8.0327623624065966E-2"/>
        </c:manualLayout>
      </c:layout>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legend>
    <c:plotVisOnly val="1"/>
    <c:dispBlanksAs val="gap"/>
  </c:chart>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195125573768822"/>
          <c:y val="0.11441784698191759"/>
          <c:w val="0.85809312638585178"/>
          <c:h val="0.61224046228044826"/>
        </c:manualLayout>
      </c:layout>
      <c:barChart>
        <c:barDir val="col"/>
        <c:grouping val="clustered"/>
        <c:ser>
          <c:idx val="0"/>
          <c:order val="0"/>
          <c:tx>
            <c:strRef>
              <c:f>Sheet1!$B$1</c:f>
              <c:strCache>
                <c:ptCount val="1"/>
                <c:pt idx="0">
                  <c:v>الأراضي الفلسطينية Palestinian Territory</c:v>
                </c:pt>
              </c:strCache>
            </c:strRef>
          </c:tx>
          <c:spPr>
            <a:solidFill>
              <a:srgbClr val="9999FF"/>
            </a:solidFill>
            <a:ln w="12183">
              <a:solidFill>
                <a:srgbClr val="000000"/>
              </a:solidFill>
              <a:prstDash val="solid"/>
            </a:ln>
          </c:spPr>
          <c:cat>
            <c:numRef>
              <c:f>Sheet1!$A$2:$A$3</c:f>
              <c:numCache>
                <c:formatCode>General</c:formatCode>
                <c:ptCount val="2"/>
                <c:pt idx="0">
                  <c:v>2011</c:v>
                </c:pt>
                <c:pt idx="1">
                  <c:v>2017</c:v>
                </c:pt>
              </c:numCache>
            </c:numRef>
          </c:cat>
          <c:val>
            <c:numRef>
              <c:f>Sheet1!$B$2:$B$3</c:f>
            </c:numRef>
          </c:val>
        </c:ser>
        <c:ser>
          <c:idx val="1"/>
          <c:order val="1"/>
          <c:tx>
            <c:strRef>
              <c:f>Sheet1!$C$1</c:f>
              <c:strCache>
                <c:ptCount val="1"/>
                <c:pt idx="0">
                  <c:v>West Bank</c:v>
                </c:pt>
              </c:strCache>
            </c:strRef>
          </c:tx>
          <c:spPr>
            <a:solidFill>
              <a:srgbClr val="993366"/>
            </a:solidFill>
            <a:ln w="12183">
              <a:solidFill>
                <a:srgbClr val="000000"/>
              </a:solidFill>
              <a:prstDash val="solid"/>
            </a:ln>
          </c:spPr>
          <c:cat>
            <c:numRef>
              <c:f>Sheet1!$A$2:$A$3</c:f>
              <c:numCache>
                <c:formatCode>General</c:formatCode>
                <c:ptCount val="2"/>
                <c:pt idx="0">
                  <c:v>2011</c:v>
                </c:pt>
                <c:pt idx="1">
                  <c:v>2017</c:v>
                </c:pt>
              </c:numCache>
            </c:numRef>
          </c:cat>
          <c:val>
            <c:numRef>
              <c:f>Sheet1!$C$2:$C$3</c:f>
              <c:numCache>
                <c:formatCode>General</c:formatCode>
                <c:ptCount val="2"/>
                <c:pt idx="0">
                  <c:v>17.8</c:v>
                </c:pt>
                <c:pt idx="1">
                  <c:v>13.9</c:v>
                </c:pt>
              </c:numCache>
            </c:numRef>
          </c:val>
        </c:ser>
        <c:ser>
          <c:idx val="2"/>
          <c:order val="2"/>
          <c:tx>
            <c:strRef>
              <c:f>Sheet1!$D$1</c:f>
              <c:strCache>
                <c:ptCount val="1"/>
                <c:pt idx="0">
                  <c:v>Gaza Strip</c:v>
                </c:pt>
              </c:strCache>
            </c:strRef>
          </c:tx>
          <c:spPr>
            <a:solidFill>
              <a:srgbClr val="FFFFCC"/>
            </a:solidFill>
            <a:ln w="12183">
              <a:solidFill>
                <a:srgbClr val="000000"/>
              </a:solidFill>
              <a:prstDash val="solid"/>
            </a:ln>
          </c:spPr>
          <c:dLbls>
            <c:numFmt formatCode="#,##0.0" sourceLinked="0"/>
            <c:dLblPos val="outEnd"/>
            <c:showVal val="1"/>
          </c:dLbls>
          <c:cat>
            <c:numRef>
              <c:f>Sheet1!$A$2:$A$3</c:f>
              <c:numCache>
                <c:formatCode>General</c:formatCode>
                <c:ptCount val="2"/>
                <c:pt idx="0">
                  <c:v>2011</c:v>
                </c:pt>
                <c:pt idx="1">
                  <c:v>2017</c:v>
                </c:pt>
              </c:numCache>
            </c:numRef>
          </c:cat>
          <c:val>
            <c:numRef>
              <c:f>Sheet1!$D$2:$D$3</c:f>
              <c:numCache>
                <c:formatCode>0.0</c:formatCode>
                <c:ptCount val="2"/>
                <c:pt idx="0" formatCode="General">
                  <c:v>38.800000000000004</c:v>
                </c:pt>
                <c:pt idx="1">
                  <c:v>53</c:v>
                </c:pt>
              </c:numCache>
            </c:numRef>
          </c:val>
        </c:ser>
        <c:dLbls>
          <c:showVal val="1"/>
        </c:dLbls>
        <c:axId val="199087232"/>
        <c:axId val="199089152"/>
      </c:barChart>
      <c:catAx>
        <c:axId val="199087232"/>
        <c:scaling>
          <c:orientation val="minMax"/>
        </c:scaling>
        <c:axPos val="b"/>
        <c:title>
          <c:tx>
            <c:rich>
              <a:bodyPr/>
              <a:lstStyle/>
              <a:p>
                <a:pPr>
                  <a:defRPr/>
                </a:pPr>
                <a:r>
                  <a:rPr lang="en-GB"/>
                  <a:t>Year</a:t>
                </a:r>
              </a:p>
            </c:rich>
          </c:tx>
          <c:layout>
            <c:manualLayout>
              <c:xMode val="edge"/>
              <c:yMode val="edge"/>
              <c:x val="0.43955534729117268"/>
              <c:y val="0.87928479939633497"/>
            </c:manualLayout>
          </c:layout>
          <c:spPr>
            <a:noFill/>
            <a:ln w="24361">
              <a:noFill/>
            </a:ln>
          </c:spPr>
        </c:title>
        <c:numFmt formatCode="General" sourceLinked="1"/>
        <c:tickLblPos val="nextTo"/>
        <c:spPr>
          <a:ln w="3044">
            <a:solidFill>
              <a:srgbClr val="000000"/>
            </a:solidFill>
            <a:prstDash val="solid"/>
          </a:ln>
        </c:spPr>
        <c:txPr>
          <a:bodyPr rot="0" vert="horz"/>
          <a:lstStyle/>
          <a:p>
            <a:pPr>
              <a:defRPr/>
            </a:pPr>
            <a:endParaRPr lang="ar-SA"/>
          </a:p>
        </c:txPr>
        <c:crossAx val="199089152"/>
        <c:crosses val="autoZero"/>
        <c:auto val="1"/>
        <c:lblAlgn val="ctr"/>
        <c:lblOffset val="100"/>
        <c:tickLblSkip val="1"/>
        <c:tickMarkSkip val="1"/>
      </c:catAx>
      <c:valAx>
        <c:axId val="199089152"/>
        <c:scaling>
          <c:orientation val="minMax"/>
        </c:scaling>
        <c:axPos val="l"/>
        <c:title>
          <c:tx>
            <c:rich>
              <a:bodyPr/>
              <a:lstStyle/>
              <a:p>
                <a:pPr>
                  <a:defRPr/>
                </a:pPr>
                <a:r>
                  <a:rPr lang="en-GB"/>
                  <a:t>Poverty Percntages</a:t>
                </a:r>
              </a:p>
            </c:rich>
          </c:tx>
          <c:layout>
            <c:manualLayout>
              <c:xMode val="edge"/>
              <c:yMode val="edge"/>
              <c:x val="1.5891905154915127E-2"/>
              <c:y val="0.1681813151734412"/>
            </c:manualLayout>
          </c:layout>
          <c:spPr>
            <a:noFill/>
            <a:ln w="24361">
              <a:noFill/>
            </a:ln>
          </c:spPr>
        </c:title>
        <c:numFmt formatCode="General" sourceLinked="1"/>
        <c:tickLblPos val="nextTo"/>
        <c:spPr>
          <a:ln w="3044">
            <a:solidFill>
              <a:srgbClr val="000000"/>
            </a:solidFill>
            <a:prstDash val="solid"/>
          </a:ln>
        </c:spPr>
        <c:txPr>
          <a:bodyPr rot="0" vert="horz"/>
          <a:lstStyle/>
          <a:p>
            <a:pPr>
              <a:defRPr/>
            </a:pPr>
            <a:endParaRPr lang="ar-SA"/>
          </a:p>
        </c:txPr>
        <c:crossAx val="199087232"/>
        <c:crosses val="autoZero"/>
        <c:crossBetween val="between"/>
      </c:valAx>
      <c:spPr>
        <a:noFill/>
        <a:ln w="25395">
          <a:noFill/>
        </a:ln>
      </c:spPr>
    </c:plotArea>
    <c:legend>
      <c:legendPos val="t"/>
      <c:layout>
        <c:manualLayout>
          <c:xMode val="edge"/>
          <c:yMode val="edge"/>
          <c:x val="6.2958144724663018E-2"/>
          <c:y val="1.9445562005479245E-2"/>
          <c:w val="0.90300125527789465"/>
          <c:h val="0.12904496426997719"/>
        </c:manualLayout>
      </c:layout>
      <c:spPr>
        <a:noFill/>
        <a:ln w="3044">
          <a:noFill/>
          <a:prstDash val="solid"/>
        </a:ln>
      </c:spPr>
    </c:legend>
    <c:plotVisOnly val="1"/>
    <c:dispBlanksAs val="gap"/>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146770810275214"/>
          <c:y val="6.813548306461692E-2"/>
          <c:w val="0.86597230901692757"/>
          <c:h val="0.56377150459612069"/>
        </c:manualLayout>
      </c:layout>
      <c:lineChart>
        <c:grouping val="stacked"/>
        <c:ser>
          <c:idx val="0"/>
          <c:order val="0"/>
          <c:tx>
            <c:strRef>
              <c:f>ورقة1!$A$2</c:f>
              <c:strCache>
                <c:ptCount val="1"/>
                <c:pt idx="0">
                  <c:v>فئة 1</c:v>
                </c:pt>
              </c:strCache>
            </c:strRef>
          </c:tx>
          <c:marker>
            <c:symbol val="circle"/>
            <c:size val="6"/>
          </c:marker>
          <c:dLbls>
            <c:dLbl>
              <c:idx val="0"/>
              <c:layout>
                <c:manualLayout>
                  <c:x val="-5.1409628013365793E-2"/>
                  <c:y val="-6.9093863267091701E-2"/>
                </c:manualLayout>
              </c:layout>
              <c:tx>
                <c:rich>
                  <a:bodyPr/>
                  <a:lstStyle/>
                  <a:p>
                    <a:r>
                      <a:rPr lang="en-US"/>
                      <a:t>10,410</a:t>
                    </a:r>
                  </a:p>
                </c:rich>
              </c:tx>
              <c:showVal val="1"/>
            </c:dLbl>
            <c:dLbl>
              <c:idx val="1"/>
              <c:layout>
                <c:manualLayout>
                  <c:x val="-2.7133415551971709E-2"/>
                  <c:y val="5.0046744156980412E-2"/>
                </c:manualLayout>
              </c:layout>
              <c:tx>
                <c:rich>
                  <a:bodyPr/>
                  <a:lstStyle/>
                  <a:p>
                    <a:r>
                      <a:rPr lang="en-US"/>
                      <a:t>12,140</a:t>
                    </a:r>
                  </a:p>
                </c:rich>
              </c:tx>
              <c:showVal val="1"/>
            </c:dLbl>
            <c:dLbl>
              <c:idx val="2"/>
              <c:layout>
                <c:manualLayout>
                  <c:x val="-4.8840048840048902E-2"/>
                  <c:y val="-4.5192030545543521E-2"/>
                </c:manualLayout>
              </c:layout>
              <c:tx>
                <c:rich>
                  <a:bodyPr/>
                  <a:lstStyle/>
                  <a:p>
                    <a:r>
                      <a:rPr lang="en-US"/>
                      <a:t>15,865</a:t>
                    </a:r>
                  </a:p>
                </c:rich>
              </c:tx>
              <c:showVal val="1"/>
            </c:dLbl>
            <c:dLbl>
              <c:idx val="3"/>
              <c:layout>
                <c:manualLayout>
                  <c:x val="-2.1419009370816602E-2"/>
                  <c:y val="-5.0793650793650794E-2"/>
                </c:manualLayout>
              </c:layout>
              <c:tx>
                <c:rich>
                  <a:bodyPr/>
                  <a:lstStyle/>
                  <a:p>
                    <a:r>
                      <a:rPr lang="en-US"/>
                      <a:t>9,889</a:t>
                    </a:r>
                  </a:p>
                </c:rich>
              </c:tx>
              <c:showVal val="1"/>
            </c:dLbl>
            <c:dLbl>
              <c:idx val="4"/>
              <c:layout>
                <c:manualLayout>
                  <c:x val="-3.2128514056224848E-2"/>
                  <c:y val="-5.7142857142857141E-2"/>
                </c:manualLayout>
              </c:layout>
              <c:tx>
                <c:rich>
                  <a:bodyPr/>
                  <a:lstStyle/>
                  <a:p>
                    <a:r>
                      <a:rPr lang="en-US"/>
                      <a:t>6,070</a:t>
                    </a:r>
                  </a:p>
                </c:rich>
              </c:tx>
              <c:showVal val="1"/>
            </c:dLbl>
            <c:dLbl>
              <c:idx val="5"/>
              <c:layout>
                <c:manualLayout>
                  <c:x val="-4.6054875670661646E-2"/>
                  <c:y val="-6.0503437070366296E-2"/>
                </c:manualLayout>
              </c:layout>
              <c:tx>
                <c:rich>
                  <a:bodyPr/>
                  <a:lstStyle/>
                  <a:p>
                    <a:r>
                      <a:rPr lang="en-US"/>
                      <a:t>1,909</a:t>
                    </a:r>
                  </a:p>
                </c:rich>
              </c:tx>
              <c:showVal val="1"/>
            </c:dLbl>
            <c:dLbl>
              <c:idx val="6"/>
              <c:layout>
                <c:manualLayout>
                  <c:x val="-4.0556135302364307E-2"/>
                  <c:y val="-5.3409323834520732E-2"/>
                </c:manualLayout>
              </c:layout>
              <c:tx>
                <c:rich>
                  <a:bodyPr/>
                  <a:lstStyle/>
                  <a:p>
                    <a:r>
                      <a:rPr lang="en-US"/>
                      <a:t>4,175</a:t>
                    </a:r>
                  </a:p>
                </c:rich>
              </c:tx>
              <c:showVal val="1"/>
            </c:dLbl>
            <c:dLbl>
              <c:idx val="7"/>
              <c:layout>
                <c:manualLayout>
                  <c:x val="-3.7986704653371402E-2"/>
                  <c:y val="4.5192030545543521E-2"/>
                </c:manualLayout>
              </c:layout>
              <c:tx>
                <c:rich>
                  <a:bodyPr/>
                  <a:lstStyle/>
                  <a:p>
                    <a:r>
                      <a:rPr lang="en-US"/>
                      <a:t>4,000</a:t>
                    </a:r>
                  </a:p>
                </c:rich>
              </c:tx>
              <c:showVal val="1"/>
            </c:dLbl>
            <c:dLbl>
              <c:idx val="8"/>
              <c:layout>
                <c:manualLayout>
                  <c:x val="-6.2119132698774095E-2"/>
                  <c:y val="-5.3408823897012812E-2"/>
                </c:manualLayout>
              </c:layout>
              <c:tx>
                <c:rich>
                  <a:bodyPr/>
                  <a:lstStyle/>
                  <a:p>
                    <a:r>
                      <a:rPr lang="en-US"/>
                      <a:t>4,733</a:t>
                    </a:r>
                  </a:p>
                </c:rich>
              </c:tx>
              <c:showVal val="1"/>
            </c:dLbl>
            <c:dLbl>
              <c:idx val="9"/>
              <c:layout>
                <c:manualLayout>
                  <c:x val="-3.7591415530890002E-2"/>
                  <c:y val="6.6480689913760813E-2"/>
                </c:manualLayout>
              </c:layout>
              <c:tx>
                <c:rich>
                  <a:bodyPr/>
                  <a:lstStyle/>
                  <a:p>
                    <a:r>
                      <a:rPr lang="en-US"/>
                      <a:t>5,190</a:t>
                    </a:r>
                  </a:p>
                </c:rich>
              </c:tx>
              <c:showVal val="1"/>
            </c:dLbl>
            <c:dLbl>
              <c:idx val="10"/>
              <c:layout>
                <c:manualLayout>
                  <c:x val="-4.3413376746710114E-2"/>
                  <c:y val="-4.5192030545543556E-2"/>
                </c:manualLayout>
              </c:layout>
              <c:tx>
                <c:rich>
                  <a:bodyPr/>
                  <a:lstStyle/>
                  <a:p>
                    <a:r>
                      <a:rPr lang="en-US"/>
                      <a:t>9,795</a:t>
                    </a:r>
                  </a:p>
                </c:rich>
              </c:tx>
              <c:showVal val="1"/>
            </c:dLbl>
            <c:dLbl>
              <c:idx val="11"/>
              <c:layout>
                <c:manualLayout>
                  <c:x val="-1.638786115590974E-2"/>
                  <c:y val="-6.0503437070366296E-2"/>
                </c:manualLayout>
              </c:layout>
              <c:tx>
                <c:rich>
                  <a:bodyPr/>
                  <a:lstStyle/>
                  <a:p>
                    <a:r>
                      <a:rPr lang="en-US"/>
                      <a:t>5,515</a:t>
                    </a:r>
                  </a:p>
                </c:rich>
              </c:tx>
              <c:showVal val="1"/>
            </c:dLbl>
            <c:showVal val="1"/>
          </c:dLbls>
          <c:cat>
            <c:strRef>
              <c:f>ورقة1!$B$1:$M$1</c:f>
              <c:strCache>
                <c:ptCount val="12"/>
                <c:pt idx="0">
                  <c:v> January</c:v>
                </c:pt>
                <c:pt idx="1">
                  <c:v>February</c:v>
                </c:pt>
                <c:pt idx="2">
                  <c:v>March</c:v>
                </c:pt>
                <c:pt idx="3">
                  <c:v> April</c:v>
                </c:pt>
                <c:pt idx="4">
                  <c:v>May</c:v>
                </c:pt>
                <c:pt idx="5">
                  <c:v> June</c:v>
                </c:pt>
                <c:pt idx="6">
                  <c:v>  July</c:v>
                </c:pt>
                <c:pt idx="7">
                  <c:v>August</c:v>
                </c:pt>
                <c:pt idx="8">
                  <c:v> September</c:v>
                </c:pt>
                <c:pt idx="9">
                  <c:v>October</c:v>
                </c:pt>
                <c:pt idx="10">
                  <c:v>November</c:v>
                </c:pt>
                <c:pt idx="11">
                  <c:v> December</c:v>
                </c:pt>
              </c:strCache>
            </c:strRef>
          </c:cat>
          <c:val>
            <c:numRef>
              <c:f>ورقة1!$B$2:$M$2</c:f>
              <c:numCache>
                <c:formatCode>General</c:formatCode>
                <c:ptCount val="12"/>
                <c:pt idx="0">
                  <c:v>10410</c:v>
                </c:pt>
                <c:pt idx="1">
                  <c:v>12140</c:v>
                </c:pt>
                <c:pt idx="2">
                  <c:v>15865</c:v>
                </c:pt>
                <c:pt idx="3">
                  <c:v>9889</c:v>
                </c:pt>
                <c:pt idx="4">
                  <c:v>6070</c:v>
                </c:pt>
                <c:pt idx="5">
                  <c:v>1909</c:v>
                </c:pt>
                <c:pt idx="6">
                  <c:v>4175</c:v>
                </c:pt>
                <c:pt idx="7">
                  <c:v>4000</c:v>
                </c:pt>
                <c:pt idx="8">
                  <c:v>4733</c:v>
                </c:pt>
                <c:pt idx="9">
                  <c:v>5190</c:v>
                </c:pt>
                <c:pt idx="10">
                  <c:v>9795</c:v>
                </c:pt>
                <c:pt idx="11">
                  <c:v>5515</c:v>
                </c:pt>
              </c:numCache>
            </c:numRef>
          </c:val>
          <c:smooth val="1"/>
        </c:ser>
        <c:dLbls>
          <c:showVal val="1"/>
        </c:dLbls>
        <c:marker val="1"/>
        <c:axId val="259145728"/>
        <c:axId val="259146880"/>
      </c:lineChart>
      <c:catAx>
        <c:axId val="259145728"/>
        <c:scaling>
          <c:orientation val="minMax"/>
        </c:scaling>
        <c:axPos val="b"/>
        <c:tickLblPos val="nextTo"/>
        <c:txPr>
          <a:bodyPr/>
          <a:lstStyle/>
          <a:p>
            <a:pPr>
              <a:defRPr>
                <a:latin typeface="Arial" pitchFamily="34" charset="0"/>
                <a:cs typeface="+mj-cs"/>
              </a:defRPr>
            </a:pPr>
            <a:endParaRPr lang="ar-SA"/>
          </a:p>
        </c:txPr>
        <c:crossAx val="259146880"/>
        <c:crosses val="autoZero"/>
        <c:auto val="1"/>
        <c:lblAlgn val="ctr"/>
        <c:lblOffset val="100"/>
      </c:catAx>
      <c:valAx>
        <c:axId val="259146880"/>
        <c:scaling>
          <c:orientation val="minMax"/>
        </c:scaling>
        <c:axPos val="l"/>
        <c:numFmt formatCode="General" sourceLinked="1"/>
        <c:tickLblPos val="nextTo"/>
        <c:txPr>
          <a:bodyPr/>
          <a:lstStyle/>
          <a:p>
            <a:pPr>
              <a:defRPr>
                <a:latin typeface="Arial" pitchFamily="34" charset="0"/>
                <a:cs typeface="Arial" pitchFamily="34" charset="0"/>
              </a:defRPr>
            </a:pPr>
            <a:endParaRPr lang="ar-SA"/>
          </a:p>
        </c:txPr>
        <c:crossAx val="259145728"/>
        <c:crosses val="autoZero"/>
        <c:crossBetween val="between"/>
      </c:valAx>
    </c:plotArea>
    <c:plotVisOnly val="1"/>
  </c:chart>
  <c:spPr>
    <a:ln>
      <a:noFill/>
    </a:ln>
  </c:spPr>
  <c:txPr>
    <a:bodyPr/>
    <a:lstStyle/>
    <a:p>
      <a:pPr>
        <a:defRPr sz="800">
          <a:cs typeface="+mn-cs"/>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99124061985069"/>
          <c:y val="0.13365573530377337"/>
          <c:w val="0.84833135061026899"/>
          <c:h val="0.50593073924011933"/>
        </c:manualLayout>
      </c:layout>
      <c:barChart>
        <c:barDir val="col"/>
        <c:grouping val="clustered"/>
        <c:ser>
          <c:idx val="0"/>
          <c:order val="0"/>
          <c:tx>
            <c:strRef>
              <c:f>Sheet1!$A$2</c:f>
              <c:strCache>
                <c:ptCount val="1"/>
                <c:pt idx="0">
                  <c:v>East</c:v>
                </c:pt>
              </c:strCache>
            </c:strRef>
          </c:tx>
          <c:spPr>
            <a:solidFill>
              <a:srgbClr val="9999FF"/>
            </a:solidFill>
            <a:ln w="12170">
              <a:solidFill>
                <a:srgbClr val="000000"/>
              </a:solidFill>
              <a:prstDash val="solid"/>
            </a:ln>
          </c:spPr>
          <c:dLbls>
            <c:txPr>
              <a:bodyPr/>
              <a:lstStyle/>
              <a:p>
                <a:pPr>
                  <a:defRPr b="0"/>
                </a:pPr>
                <a:endParaRPr lang="ar-SA"/>
              </a:p>
            </c:txPr>
            <c:showVal val="1"/>
          </c:dLbls>
          <c:cat>
            <c:strRef>
              <c:f>Sheet1!$B$1:$F$1</c:f>
              <c:strCache>
                <c:ptCount val="5"/>
                <c:pt idx="0">
                  <c:v>Mobile Phone </c:v>
                </c:pt>
                <c:pt idx="1">
                  <c:v> Computer Desktop</c:v>
                </c:pt>
                <c:pt idx="2">
                  <c:v>Telephone Line</c:v>
                </c:pt>
                <c:pt idx="3">
                  <c:v>Internet at Home</c:v>
                </c:pt>
                <c:pt idx="4">
                  <c:v>Laptop</c:v>
                </c:pt>
              </c:strCache>
            </c:strRef>
          </c:cat>
          <c:val>
            <c:numRef>
              <c:f>Sheet1!$B$2:$F$2</c:f>
              <c:numCache>
                <c:formatCode>General</c:formatCode>
                <c:ptCount val="5"/>
                <c:pt idx="0">
                  <c:v>96.6</c:v>
                </c:pt>
                <c:pt idx="1">
                  <c:v>15.6</c:v>
                </c:pt>
                <c:pt idx="2">
                  <c:v>33.700000000000003</c:v>
                </c:pt>
                <c:pt idx="3">
                  <c:v>51.7</c:v>
                </c:pt>
                <c:pt idx="4">
                  <c:v>27.9</c:v>
                </c:pt>
              </c:numCache>
            </c:numRef>
          </c:val>
        </c:ser>
        <c:dLbls>
          <c:showVal val="1"/>
        </c:dLbls>
        <c:axId val="259272704"/>
        <c:axId val="259274624"/>
      </c:barChart>
      <c:catAx>
        <c:axId val="259272704"/>
        <c:scaling>
          <c:orientation val="minMax"/>
        </c:scaling>
        <c:axPos val="b"/>
        <c:title>
          <c:tx>
            <c:rich>
              <a:bodyPr/>
              <a:lstStyle/>
              <a:p>
                <a:pPr>
                  <a:defRPr/>
                </a:pPr>
                <a:r>
                  <a:rPr lang="en-US"/>
                  <a:t>ICT Tools</a:t>
                </a:r>
              </a:p>
            </c:rich>
          </c:tx>
          <c:layout>
            <c:manualLayout>
              <c:xMode val="edge"/>
              <c:yMode val="edge"/>
              <c:x val="0.46719128285960781"/>
              <c:y val="0.84818451588122656"/>
            </c:manualLayout>
          </c:layout>
          <c:spPr>
            <a:noFill/>
            <a:ln w="24336">
              <a:noFill/>
            </a:ln>
          </c:spPr>
        </c:title>
        <c:numFmt formatCode="General" sourceLinked="1"/>
        <c:tickLblPos val="nextTo"/>
        <c:spPr>
          <a:ln w="3042">
            <a:solidFill>
              <a:srgbClr val="000000"/>
            </a:solidFill>
            <a:prstDash val="solid"/>
          </a:ln>
        </c:spPr>
        <c:txPr>
          <a:bodyPr rot="0" vert="horz"/>
          <a:lstStyle/>
          <a:p>
            <a:pPr>
              <a:defRPr b="0"/>
            </a:pPr>
            <a:endParaRPr lang="ar-SA"/>
          </a:p>
        </c:txPr>
        <c:crossAx val="259274624"/>
        <c:crosses val="autoZero"/>
        <c:auto val="1"/>
        <c:lblAlgn val="ctr"/>
        <c:lblOffset val="100"/>
        <c:tickLblSkip val="1"/>
        <c:tickMarkSkip val="1"/>
      </c:catAx>
      <c:valAx>
        <c:axId val="259274624"/>
        <c:scaling>
          <c:orientation val="minMax"/>
          <c:max val="100"/>
          <c:min val="0"/>
        </c:scaling>
        <c:axPos val="l"/>
        <c:title>
          <c:tx>
            <c:rich>
              <a:bodyPr/>
              <a:lstStyle/>
              <a:p>
                <a:pPr>
                  <a:defRPr b="1"/>
                </a:pPr>
                <a:r>
                  <a:rPr lang="en-US" b="1"/>
                  <a:t>Percentage</a:t>
                </a:r>
              </a:p>
            </c:rich>
          </c:tx>
          <c:layout>
            <c:manualLayout>
              <c:xMode val="edge"/>
              <c:yMode val="edge"/>
              <c:x val="1.2342838869645201E-2"/>
              <c:y val="0.17177806550735294"/>
            </c:manualLayout>
          </c:layout>
          <c:spPr>
            <a:noFill/>
            <a:ln w="24336">
              <a:noFill/>
            </a:ln>
          </c:spPr>
        </c:title>
        <c:numFmt formatCode="General" sourceLinked="1"/>
        <c:tickLblPos val="nextTo"/>
        <c:spPr>
          <a:ln w="3042">
            <a:solidFill>
              <a:srgbClr val="000000"/>
            </a:solidFill>
            <a:prstDash val="solid"/>
          </a:ln>
        </c:spPr>
        <c:txPr>
          <a:bodyPr rot="0" vert="horz"/>
          <a:lstStyle/>
          <a:p>
            <a:pPr>
              <a:defRPr b="0"/>
            </a:pPr>
            <a:endParaRPr lang="ar-SA"/>
          </a:p>
        </c:txPr>
        <c:crossAx val="259272704"/>
        <c:crosses val="autoZero"/>
        <c:crossBetween val="between"/>
        <c:majorUnit val="20"/>
      </c:valAx>
      <c:spPr>
        <a:noFill/>
        <a:ln w="25166">
          <a:noFill/>
        </a:ln>
      </c:spPr>
    </c:plotArea>
    <c:plotVisOnly val="1"/>
    <c:dispBlanksAs val="gap"/>
  </c:chart>
  <c:spPr>
    <a:noFill/>
    <a:ln>
      <a:noFill/>
    </a:ln>
  </c:spPr>
  <c:txPr>
    <a:bodyPr/>
    <a:lstStyle/>
    <a:p>
      <a:pPr>
        <a:defRPr sz="800" b="1" i="0" u="none" strike="noStrike" baseline="0">
          <a:solidFill>
            <a:srgbClr val="000000"/>
          </a:solidFill>
          <a:latin typeface="Arial" pitchFamily="34" charset="0"/>
          <a:ea typeface="Calibri"/>
          <a:cs typeface="Arial" pitchFamily="34" charset="0"/>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0.12217171326943529"/>
          <c:y val="3.4042359288422412E-2"/>
          <c:w val="0.70050597448903795"/>
          <c:h val="0.62702340408141077"/>
        </c:manualLayout>
      </c:layout>
      <c:barChart>
        <c:barDir val="col"/>
        <c:grouping val="clustered"/>
        <c:ser>
          <c:idx val="0"/>
          <c:order val="0"/>
          <c:tx>
            <c:strRef>
              <c:f>Sheet1!$B$1</c:f>
              <c:strCache>
                <c:ptCount val="1"/>
                <c:pt idx="0">
                  <c:v>عدد الافعال الاجرامية المبلغ عنها</c:v>
                </c:pt>
              </c:strCache>
            </c:strRef>
          </c:tx>
          <c:cat>
            <c:strRef>
              <c:f>Sheet1!$A$2:$A$12</c:f>
              <c:strCache>
                <c:ptCount val="11"/>
                <c:pt idx="0">
                  <c:v>  Hebron</c:v>
                </c:pt>
                <c:pt idx="1">
                  <c:v>  Jenin</c:v>
                </c:pt>
                <c:pt idx="2">
                  <c:v>  Ramallah &amp; Al Bireh</c:v>
                </c:pt>
                <c:pt idx="3">
                  <c:v>  Nablus</c:v>
                </c:pt>
                <c:pt idx="4">
                  <c:v>  Bethlehem</c:v>
                </c:pt>
                <c:pt idx="5">
                  <c:v>  Qalqiliya</c:v>
                </c:pt>
                <c:pt idx="6">
                  <c:v>  Salfit</c:v>
                </c:pt>
                <c:pt idx="7">
                  <c:v>  Jericho &amp; Al Aghwar</c:v>
                </c:pt>
                <c:pt idx="8">
                  <c:v>  Tulkarm</c:v>
                </c:pt>
                <c:pt idx="9">
                  <c:v>  Jerusalem*</c:v>
                </c:pt>
                <c:pt idx="10">
                  <c:v>  Tubas &amp; Northern Valleys</c:v>
                </c:pt>
              </c:strCache>
            </c:strRef>
          </c:cat>
          <c:val>
            <c:numRef>
              <c:f>Sheet1!$B$2:$B$12</c:f>
              <c:numCache>
                <c:formatCode>#,##0</c:formatCode>
                <c:ptCount val="11"/>
                <c:pt idx="0">
                  <c:v>5922</c:v>
                </c:pt>
                <c:pt idx="1">
                  <c:v>5211</c:v>
                </c:pt>
                <c:pt idx="2">
                  <c:v>4453</c:v>
                </c:pt>
                <c:pt idx="3">
                  <c:v>4307</c:v>
                </c:pt>
                <c:pt idx="4">
                  <c:v>2734</c:v>
                </c:pt>
                <c:pt idx="5">
                  <c:v>2388</c:v>
                </c:pt>
                <c:pt idx="6">
                  <c:v>2331</c:v>
                </c:pt>
                <c:pt idx="7">
                  <c:v>1643</c:v>
                </c:pt>
                <c:pt idx="8">
                  <c:v>1600</c:v>
                </c:pt>
                <c:pt idx="9">
                  <c:v>1283</c:v>
                </c:pt>
                <c:pt idx="10">
                  <c:v>775</c:v>
                </c:pt>
              </c:numCache>
            </c:numRef>
          </c:val>
        </c:ser>
        <c:dLbls>
          <c:showVal val="1"/>
        </c:dLbls>
        <c:axId val="259290624"/>
        <c:axId val="259292160"/>
      </c:barChart>
      <c:catAx>
        <c:axId val="259290624"/>
        <c:scaling>
          <c:orientation val="minMax"/>
        </c:scaling>
        <c:axPos val="b"/>
        <c:tickLblPos val="nextTo"/>
        <c:txPr>
          <a:bodyPr rot="1080000" vert="horz"/>
          <a:lstStyle/>
          <a:p>
            <a:pPr>
              <a:defRPr sz="700" baseline="0">
                <a:latin typeface="Arial" pitchFamily="34" charset="0"/>
                <a:cs typeface="Arial" pitchFamily="34" charset="0"/>
              </a:defRPr>
            </a:pPr>
            <a:endParaRPr lang="ar-SA"/>
          </a:p>
        </c:txPr>
        <c:crossAx val="259292160"/>
        <c:crosses val="autoZero"/>
        <c:auto val="1"/>
        <c:lblAlgn val="ctr"/>
        <c:lblOffset val="100"/>
      </c:catAx>
      <c:valAx>
        <c:axId val="259292160"/>
        <c:scaling>
          <c:orientation val="minMax"/>
        </c:scaling>
        <c:axPos val="l"/>
        <c:numFmt formatCode="#,##0" sourceLinked="0"/>
        <c:tickLblPos val="nextTo"/>
        <c:txPr>
          <a:bodyPr/>
          <a:lstStyle/>
          <a:p>
            <a:pPr>
              <a:defRPr>
                <a:latin typeface="Arial" pitchFamily="34" charset="0"/>
                <a:cs typeface="Arial" pitchFamily="34" charset="0"/>
              </a:defRPr>
            </a:pPr>
            <a:endParaRPr lang="ar-SA"/>
          </a:p>
        </c:txPr>
        <c:crossAx val="259290624"/>
        <c:crosses val="autoZero"/>
        <c:crossBetween val="between"/>
      </c:valAx>
    </c:plotArea>
    <c:plotVisOnly val="1"/>
  </c:chart>
  <c:spPr>
    <a:ln>
      <a:noFill/>
    </a:ln>
  </c:spPr>
  <c:txPr>
    <a:bodyPr/>
    <a:lstStyle/>
    <a:p>
      <a:pPr>
        <a:defRPr sz="800"/>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249068220269029"/>
          <c:y val="6.267806267806264E-2"/>
          <c:w val="0.86196812232073572"/>
          <c:h val="0.67147231596050494"/>
        </c:manualLayout>
      </c:layout>
      <c:barChart>
        <c:barDir val="col"/>
        <c:grouping val="clustered"/>
        <c:ser>
          <c:idx val="0"/>
          <c:order val="0"/>
          <c:tx>
            <c:strRef>
              <c:f>Sheet1!$B$1</c:f>
              <c:strCache>
                <c:ptCount val="1"/>
                <c:pt idx="0">
                  <c:v>2015</c:v>
                </c:pt>
              </c:strCache>
            </c:strRef>
          </c:tx>
          <c:dLbls>
            <c:txPr>
              <a:bodyPr/>
              <a:lstStyle/>
              <a:p>
                <a:pPr>
                  <a:defRPr>
                    <a:latin typeface="Arial" pitchFamily="34" charset="0"/>
                    <a:cs typeface="Arial" pitchFamily="34" charset="0"/>
                  </a:defRPr>
                </a:pPr>
                <a:endParaRPr lang="ar-SA"/>
              </a:p>
            </c:txPr>
            <c:showVal val="1"/>
          </c:dLbls>
          <c:cat>
            <c:strRef>
              <c:f>Sheet1!$A$2:$A$8</c:f>
              <c:strCache>
                <c:ptCount val="7"/>
                <c:pt idx="0">
                  <c:v>  Hebron</c:v>
                </c:pt>
                <c:pt idx="1">
                  <c:v>  Nablus</c:v>
                </c:pt>
                <c:pt idx="2">
                  <c:v>  Ramallah</c:v>
                </c:pt>
                <c:pt idx="3">
                  <c:v>Bethlehem</c:v>
                </c:pt>
                <c:pt idx="4">
                  <c:v>  Tulkarm</c:v>
                </c:pt>
                <c:pt idx="5">
                  <c:v>  Jenin</c:v>
                </c:pt>
                <c:pt idx="6">
                  <c:v> Jericho</c:v>
                </c:pt>
              </c:strCache>
            </c:strRef>
          </c:cat>
          <c:val>
            <c:numRef>
              <c:f>Sheet1!$B$2:$B$8</c:f>
              <c:numCache>
                <c:formatCode>General</c:formatCode>
                <c:ptCount val="7"/>
                <c:pt idx="0">
                  <c:v>356</c:v>
                </c:pt>
                <c:pt idx="1">
                  <c:v>291</c:v>
                </c:pt>
                <c:pt idx="2">
                  <c:v>252</c:v>
                </c:pt>
                <c:pt idx="3">
                  <c:v>243</c:v>
                </c:pt>
                <c:pt idx="4">
                  <c:v>208</c:v>
                </c:pt>
                <c:pt idx="5">
                  <c:v>175</c:v>
                </c:pt>
                <c:pt idx="6">
                  <c:v>46</c:v>
                </c:pt>
              </c:numCache>
            </c:numRef>
          </c:val>
        </c:ser>
        <c:dLbls>
          <c:showVal val="1"/>
        </c:dLbls>
        <c:axId val="259528576"/>
        <c:axId val="178720768"/>
      </c:barChart>
      <c:catAx>
        <c:axId val="259528576"/>
        <c:scaling>
          <c:orientation val="minMax"/>
        </c:scaling>
        <c:axPos val="b"/>
        <c:title>
          <c:tx>
            <c:rich>
              <a:bodyPr/>
              <a:lstStyle/>
              <a:p>
                <a:pPr>
                  <a:defRPr/>
                </a:pPr>
                <a:r>
                  <a:rPr lang="en-US"/>
                  <a:t>Station</a:t>
                </a:r>
              </a:p>
            </c:rich>
          </c:tx>
          <c:layout>
            <c:manualLayout>
              <c:xMode val="edge"/>
              <c:yMode val="edge"/>
              <c:x val="0.46554521593891685"/>
              <c:y val="0.87045177492348358"/>
            </c:manualLayout>
          </c:layout>
        </c:title>
        <c:numFmt formatCode="General" sourceLinked="1"/>
        <c:tickLblPos val="nextTo"/>
        <c:txPr>
          <a:bodyPr rot="0"/>
          <a:lstStyle/>
          <a:p>
            <a:pPr>
              <a:defRPr>
                <a:latin typeface="Arial" pitchFamily="34" charset="0"/>
                <a:cs typeface="Arial" pitchFamily="34" charset="0"/>
              </a:defRPr>
            </a:pPr>
            <a:endParaRPr lang="ar-SA"/>
          </a:p>
        </c:txPr>
        <c:crossAx val="178720768"/>
        <c:crosses val="autoZero"/>
        <c:auto val="1"/>
        <c:lblAlgn val="ctr"/>
        <c:lblOffset val="100"/>
        <c:tickLblSkip val="1"/>
      </c:catAx>
      <c:valAx>
        <c:axId val="178720768"/>
        <c:scaling>
          <c:orientation val="minMax"/>
        </c:scaling>
        <c:axPos val="l"/>
        <c:title>
          <c:tx>
            <c:rich>
              <a:bodyPr rot="-5400000" vert="horz"/>
              <a:lstStyle/>
              <a:p>
                <a:pPr>
                  <a:defRPr/>
                </a:pPr>
                <a:r>
                  <a:rPr lang="en-US" sz="799" b="1" i="0" u="none" strike="noStrike" baseline="0"/>
                  <a:t>Annual Rainfall </a:t>
                </a:r>
                <a:endParaRPr lang="en-US"/>
              </a:p>
            </c:rich>
          </c:tx>
          <c:layout>
            <c:manualLayout>
              <c:xMode val="edge"/>
              <c:yMode val="edge"/>
              <c:x val="3.3563986319891717E-4"/>
              <c:y val="0.29158709812436245"/>
            </c:manualLayout>
          </c:layout>
        </c:title>
        <c:numFmt formatCode="General" sourceLinked="1"/>
        <c:tickLblPos val="nextTo"/>
        <c:txPr>
          <a:bodyPr/>
          <a:lstStyle/>
          <a:p>
            <a:pPr>
              <a:defRPr sz="700">
                <a:latin typeface="Arial" pitchFamily="34" charset="0"/>
                <a:cs typeface="Arial" pitchFamily="34" charset="0"/>
              </a:defRPr>
            </a:pPr>
            <a:endParaRPr lang="ar-SA"/>
          </a:p>
        </c:txPr>
        <c:crossAx val="259528576"/>
        <c:crosses val="autoZero"/>
        <c:crossBetween val="between"/>
      </c:valAx>
    </c:plotArea>
    <c:plotVisOnly val="1"/>
    <c:dispBlanksAs val="zero"/>
  </c:chart>
  <c:spPr>
    <a:noFill/>
    <a:ln>
      <a:noFill/>
    </a:ln>
  </c:spPr>
  <c:txPr>
    <a:bodyPr/>
    <a:lstStyle/>
    <a:p>
      <a:pPr>
        <a:defRPr sz="799">
          <a:latin typeface="Arial (Body)"/>
        </a:defRPr>
      </a:pPr>
      <a:endParaRPr lang="ar-SA"/>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3434481078003041"/>
          <c:y val="5.7762824291669124E-2"/>
          <c:w val="0.84599814497539483"/>
          <c:h val="0.63808007288663782"/>
        </c:manualLayout>
      </c:layout>
      <c:barChart>
        <c:barDir val="col"/>
        <c:grouping val="clustered"/>
        <c:ser>
          <c:idx val="0"/>
          <c:order val="0"/>
          <c:tx>
            <c:strRef>
              <c:f>Sheet1!$B$1</c:f>
              <c:strCache>
                <c:ptCount val="1"/>
                <c:pt idx="0">
                  <c:v>2015</c:v>
                </c:pt>
              </c:strCache>
            </c:strRef>
          </c:tx>
          <c:dLbls>
            <c:dLbl>
              <c:idx val="1"/>
              <c:layout>
                <c:manualLayout>
                  <c:x val="3.1545741324921503E-3"/>
                  <c:y val="5.0359712230215833E-2"/>
                </c:manualLayout>
              </c:layout>
              <c:tx>
                <c:rich>
                  <a:bodyPr/>
                  <a:lstStyle/>
                  <a:p>
                    <a:r>
                      <a:rPr lang="en-US" sz="800">
                        <a:latin typeface="Arial" pitchFamily="34" charset="0"/>
                        <a:cs typeface="Arial" pitchFamily="34" charset="0"/>
                      </a:rPr>
                      <a:t> </a:t>
                    </a:r>
                    <a:r>
                      <a:rPr lang="en-US"/>
                      <a:t>9.5</a:t>
                    </a:r>
                  </a:p>
                  <a:p>
                    <a:endParaRPr lang="en-US"/>
                  </a:p>
                </c:rich>
              </c:tx>
              <c:showVal val="1"/>
            </c:dLbl>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Sheet1!$B$2:$B$4</c:f>
              <c:numCache>
                <c:formatCode>#,##0.0</c:formatCode>
                <c:ptCount val="3"/>
                <c:pt idx="0" formatCode="0.0">
                  <c:v>12.673</c:v>
                </c:pt>
                <c:pt idx="1">
                  <c:v>9.5</c:v>
                </c:pt>
                <c:pt idx="2" formatCode="0.0">
                  <c:v>3.1341000000000001</c:v>
                </c:pt>
              </c:numCache>
            </c:numRef>
          </c:val>
        </c:ser>
        <c:ser>
          <c:idx val="1"/>
          <c:order val="1"/>
          <c:tx>
            <c:strRef>
              <c:f>Sheet1!$C$1</c:f>
              <c:strCache>
                <c:ptCount val="1"/>
                <c:pt idx="0">
                  <c:v>2016</c:v>
                </c:pt>
              </c:strCache>
            </c:strRef>
          </c:tx>
          <c:dLbls>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Sheet1!$C$2:$C$4</c:f>
              <c:numCache>
                <c:formatCode>#,##0.0</c:formatCode>
                <c:ptCount val="3"/>
                <c:pt idx="0" formatCode="0.0">
                  <c:v>13.269700000000002</c:v>
                </c:pt>
                <c:pt idx="1">
                  <c:v>9.8741000000000021</c:v>
                </c:pt>
                <c:pt idx="2" formatCode="0.0">
                  <c:v>3.3955999999999977</c:v>
                </c:pt>
              </c:numCache>
            </c:numRef>
          </c:val>
        </c:ser>
        <c:ser>
          <c:idx val="2"/>
          <c:order val="2"/>
          <c:tx>
            <c:strRef>
              <c:f>Sheet1!$D$1</c:f>
              <c:strCache>
                <c:ptCount val="1"/>
                <c:pt idx="0">
                  <c:v>2017</c:v>
                </c:pt>
              </c:strCache>
            </c:strRef>
          </c:tx>
          <c:dLbls>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Sheet1!$D$2:$D$4</c:f>
              <c:numCache>
                <c:formatCode>#,##0.0</c:formatCode>
                <c:ptCount val="3"/>
                <c:pt idx="0" formatCode="0.0">
                  <c:v>13.686400000000004</c:v>
                </c:pt>
                <c:pt idx="1">
                  <c:v>10.302200000000004</c:v>
                </c:pt>
                <c:pt idx="2" formatCode="0.0">
                  <c:v>3.3841999999999999</c:v>
                </c:pt>
              </c:numCache>
            </c:numRef>
          </c:val>
        </c:ser>
        <c:dLbls>
          <c:showVal val="1"/>
        </c:dLbls>
        <c:axId val="178751360"/>
        <c:axId val="178769920"/>
      </c:barChart>
      <c:catAx>
        <c:axId val="178751360"/>
        <c:scaling>
          <c:orientation val="minMax"/>
        </c:scaling>
        <c:axPos val="b"/>
        <c:title>
          <c:tx>
            <c:rich>
              <a:bodyPr/>
              <a:lstStyle/>
              <a:p>
                <a:pPr rtl="1">
                  <a:defRPr/>
                </a:pPr>
                <a:r>
                  <a:rPr lang="en-US" sz="800">
                    <a:latin typeface="Arial" pitchFamily="34" charset="0"/>
                    <a:cs typeface="Arial" pitchFamily="34" charset="0"/>
                  </a:rPr>
                  <a:t>Region</a:t>
                </a:r>
              </a:p>
            </c:rich>
          </c:tx>
          <c:layout>
            <c:manualLayout>
              <c:xMode val="edge"/>
              <c:yMode val="edge"/>
              <c:x val="0.45766065086483232"/>
              <c:y val="0.85003036515291619"/>
            </c:manualLayout>
          </c:layout>
        </c:title>
        <c:tickLblPos val="nextTo"/>
        <c:txPr>
          <a:bodyPr/>
          <a:lstStyle/>
          <a:p>
            <a:pPr>
              <a:defRPr sz="800">
                <a:latin typeface="Arial" pitchFamily="34" charset="0"/>
                <a:cs typeface="Arial" pitchFamily="34" charset="0"/>
              </a:defRPr>
            </a:pPr>
            <a:endParaRPr lang="ar-SA"/>
          </a:p>
        </c:txPr>
        <c:crossAx val="178769920"/>
        <c:crosses val="autoZero"/>
        <c:auto val="1"/>
        <c:lblAlgn val="ctr"/>
        <c:lblOffset val="100"/>
      </c:catAx>
      <c:valAx>
        <c:axId val="178769920"/>
        <c:scaling>
          <c:orientation val="minMax"/>
        </c:scaling>
        <c:axPos val="l"/>
        <c:title>
          <c:tx>
            <c:rich>
              <a:bodyPr rot="-5400000" vert="horz"/>
              <a:lstStyle/>
              <a:p>
                <a:pPr rtl="1">
                  <a:defRPr/>
                </a:pPr>
                <a:r>
                  <a:rPr lang="en-US"/>
                  <a:t>Value</a:t>
                </a:r>
              </a:p>
            </c:rich>
          </c:tx>
        </c:title>
        <c:numFmt formatCode="0.0" sourceLinked="1"/>
        <c:tickLblPos val="nextTo"/>
        <c:crossAx val="178751360"/>
        <c:crosses val="autoZero"/>
        <c:crossBetween val="between"/>
      </c:valAx>
    </c:plotArea>
    <c:legend>
      <c:legendPos val="r"/>
      <c:layout>
        <c:manualLayout>
          <c:xMode val="edge"/>
          <c:yMode val="edge"/>
          <c:x val="0.86033828089448983"/>
          <c:y val="4.1517362808069148E-2"/>
          <c:w val="0.11314083515893304"/>
          <c:h val="0.2633873688013893"/>
        </c:manualLayout>
      </c:layout>
      <c:txPr>
        <a:bodyPr/>
        <a:lstStyle/>
        <a:p>
          <a:pPr rtl="0">
            <a:defRPr/>
          </a:pPr>
          <a:endParaRPr lang="ar-SA"/>
        </a:p>
      </c:txPr>
    </c:legend>
    <c:plotVisOnly val="1"/>
  </c:chart>
  <c:spPr>
    <a:ln w="3175">
      <a:solidFill>
        <a:schemeClr val="tx1"/>
      </a:solidFill>
      <a:round/>
    </a:ln>
  </c:spPr>
  <c:txPr>
    <a:bodyPr/>
    <a:lstStyle/>
    <a:p>
      <a:pPr>
        <a:defRPr sz="900">
          <a:cs typeface="+mn-cs"/>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8225419664268591"/>
          <c:y val="4.6913817198936933E-2"/>
          <c:w val="0.79616306954436356"/>
          <c:h val="0.75105768674677365"/>
        </c:manualLayout>
      </c:layout>
      <c:barChart>
        <c:barDir val="col"/>
        <c:grouping val="clustered"/>
        <c:ser>
          <c:idx val="1"/>
          <c:order val="0"/>
          <c:tx>
            <c:strRef>
              <c:f>Sheet1!$A$2</c:f>
              <c:strCache>
                <c:ptCount val="1"/>
                <c:pt idx="0">
                  <c:v>2015</c:v>
                </c:pt>
              </c:strCache>
            </c:strRef>
          </c:tx>
          <c:spPr>
            <a:solidFill>
              <a:srgbClr val="993366"/>
            </a:solidFill>
            <a:ln w="12527">
              <a:solidFill>
                <a:srgbClr val="000000"/>
              </a:solidFill>
              <a:prstDash val="solid"/>
            </a:ln>
          </c:spPr>
          <c:dLbls>
            <c:dLbl>
              <c:idx val="0"/>
              <c:tx>
                <c:rich>
                  <a:bodyPr/>
                  <a:lstStyle/>
                  <a:p>
                    <a:r>
                      <a:rPr lang="en-US"/>
                      <a:t>18,056</a:t>
                    </a:r>
                  </a:p>
                </c:rich>
              </c:tx>
              <c:showVal val="1"/>
              <c:extLst>
                <c:ext xmlns:c15="http://schemas.microsoft.com/office/drawing/2012/chart" uri="{CE6537A1-D6FC-4f65-9D91-7224C49458BB}"/>
              </c:extLst>
            </c:dLbl>
            <c:dLbl>
              <c:idx val="1"/>
              <c:layout>
                <c:manualLayout>
                  <c:x val="1.8071592254469701E-3"/>
                  <c:y val="2.7141178316519507E-3"/>
                </c:manualLayout>
              </c:layout>
              <c:tx>
                <c:rich>
                  <a:bodyPr/>
                  <a:lstStyle/>
                  <a:p>
                    <a:r>
                      <a:rPr lang="en-US"/>
                      <a:t>90,486</a:t>
                    </a:r>
                  </a:p>
                </c:rich>
              </c:tx>
              <c:dLblPos val="outEnd"/>
              <c:showVal val="1"/>
              <c:extLst>
                <c:ext xmlns:c15="http://schemas.microsoft.com/office/drawing/2012/chart" uri="{CE6537A1-D6FC-4f65-9D91-7224C49458BB}"/>
              </c:extLst>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extLst>
              <c:ext xmlns:c15="http://schemas.microsoft.com/office/drawing/2012/chart" uri="{CE6537A1-D6FC-4f65-9D91-7224C49458BB}">
                <c15:showLeaderLines val="0"/>
              </c:ext>
            </c:extLst>
          </c:dLbls>
          <c:cat>
            <c:strRef>
              <c:f>Sheet1!$B$1:$C$1</c:f>
              <c:strCache>
                <c:ptCount val="2"/>
                <c:pt idx="0">
                  <c:v>No. of Enterprises </c:v>
                </c:pt>
                <c:pt idx="1">
                  <c:v>No. of Employed Persons</c:v>
                </c:pt>
              </c:strCache>
            </c:strRef>
          </c:cat>
          <c:val>
            <c:numRef>
              <c:f>Sheet1!$B$2:$C$2</c:f>
              <c:numCache>
                <c:formatCode>General</c:formatCode>
                <c:ptCount val="2"/>
                <c:pt idx="0">
                  <c:v>18056</c:v>
                </c:pt>
                <c:pt idx="1">
                  <c:v>90486</c:v>
                </c:pt>
              </c:numCache>
            </c:numRef>
          </c:val>
        </c:ser>
        <c:ser>
          <c:idx val="2"/>
          <c:order val="1"/>
          <c:tx>
            <c:strRef>
              <c:f>Sheet1!$A$3</c:f>
              <c:strCache>
                <c:ptCount val="1"/>
                <c:pt idx="0">
                  <c:v>2016</c:v>
                </c:pt>
              </c:strCache>
            </c:strRef>
          </c:tx>
          <c:spPr>
            <a:solidFill>
              <a:srgbClr val="FFFFCC"/>
            </a:solidFill>
            <a:ln w="12527">
              <a:solidFill>
                <a:srgbClr val="000000"/>
              </a:solidFill>
              <a:prstDash val="solid"/>
            </a:ln>
          </c:spPr>
          <c:dLbls>
            <c:dLbl>
              <c:idx val="0"/>
              <c:layout>
                <c:manualLayout>
                  <c:x val="5.8428692037129134E-3"/>
                  <c:y val="3.3410931400960292E-3"/>
                </c:manualLayout>
              </c:layout>
              <c:tx>
                <c:rich>
                  <a:bodyPr/>
                  <a:lstStyle/>
                  <a:p>
                    <a:r>
                      <a:rPr lang="en-US"/>
                      <a:t>19,367</a:t>
                    </a:r>
                  </a:p>
                </c:rich>
              </c:tx>
              <c:dLblPos val="outEnd"/>
              <c:showVal val="1"/>
            </c:dLbl>
            <c:dLbl>
              <c:idx val="1"/>
              <c:layout>
                <c:manualLayout>
                  <c:x val="8.2410103551060505E-3"/>
                  <c:y val="2.9991066082175558E-3"/>
                </c:manualLayout>
              </c:layout>
              <c:tx>
                <c:rich>
                  <a:bodyPr/>
                  <a:lstStyle/>
                  <a:p>
                    <a:r>
                      <a:rPr lang="en-US"/>
                      <a:t>98,776</a:t>
                    </a:r>
                  </a:p>
                </c:rich>
              </c:tx>
              <c:dLblPos val="outEnd"/>
              <c:extLst>
                <c:ext xmlns:c15="http://schemas.microsoft.com/office/drawing/2012/chart" uri="{CE6537A1-D6FC-4f65-9D91-7224C49458BB}"/>
              </c:extLst>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extLst>
              <c:ext xmlns:c15="http://schemas.microsoft.com/office/drawing/2012/chart" uri="{CE6537A1-D6FC-4f65-9D91-7224C49458BB}">
                <c15:showLeaderLines val="0"/>
              </c:ext>
            </c:extLst>
          </c:dLbls>
          <c:cat>
            <c:strRef>
              <c:f>Sheet1!$B$1:$C$1</c:f>
              <c:strCache>
                <c:ptCount val="2"/>
                <c:pt idx="0">
                  <c:v>No. of Enterprises </c:v>
                </c:pt>
                <c:pt idx="1">
                  <c:v>No. of Employed Persons</c:v>
                </c:pt>
              </c:strCache>
            </c:strRef>
          </c:cat>
          <c:val>
            <c:numRef>
              <c:f>Sheet1!$B$3:$C$3</c:f>
              <c:numCache>
                <c:formatCode>General</c:formatCode>
                <c:ptCount val="2"/>
                <c:pt idx="0">
                  <c:v>19367</c:v>
                </c:pt>
                <c:pt idx="1">
                  <c:v>98776</c:v>
                </c:pt>
              </c:numCache>
            </c:numRef>
          </c:val>
        </c:ser>
        <c:ser>
          <c:idx val="0"/>
          <c:order val="2"/>
          <c:tx>
            <c:strRef>
              <c:f>Sheet1!$A$4</c:f>
              <c:strCache>
                <c:ptCount val="1"/>
                <c:pt idx="0">
                  <c:v>2017</c:v>
                </c:pt>
              </c:strCache>
            </c:strRef>
          </c:tx>
          <c:dLbls>
            <c:spPr>
              <a:noFill/>
              <a:ln>
                <a:noFill/>
              </a:ln>
              <a:effectLst/>
            </c:spPr>
            <c:showVal val="1"/>
            <c:extLst>
              <c:ext xmlns:c15="http://schemas.microsoft.com/office/drawing/2012/chart" uri="{CE6537A1-D6FC-4f65-9D91-7224C49458BB}">
                <c15:showLeaderLines val="0"/>
              </c:ext>
            </c:extLst>
          </c:dLbls>
          <c:cat>
            <c:strRef>
              <c:f>Sheet1!$B$1:$C$1</c:f>
              <c:strCache>
                <c:ptCount val="2"/>
                <c:pt idx="0">
                  <c:v>No. of Enterprises </c:v>
                </c:pt>
                <c:pt idx="1">
                  <c:v>No. of Employed Persons</c:v>
                </c:pt>
              </c:strCache>
            </c:strRef>
          </c:cat>
          <c:val>
            <c:numRef>
              <c:f>Sheet1!$B$4:$C$4</c:f>
              <c:numCache>
                <c:formatCode>_-* #,##0_-;_-* #,##0\-;_-* "-"??_-;_-@_-</c:formatCode>
                <c:ptCount val="2"/>
                <c:pt idx="0">
                  <c:v>19118</c:v>
                </c:pt>
                <c:pt idx="1">
                  <c:v>95787</c:v>
                </c:pt>
              </c:numCache>
            </c:numRef>
          </c:val>
        </c:ser>
        <c:dLbls>
          <c:showVal val="1"/>
        </c:dLbls>
        <c:axId val="190446976"/>
        <c:axId val="258950272"/>
      </c:barChart>
      <c:catAx>
        <c:axId val="190446976"/>
        <c:scaling>
          <c:orientation val="minMax"/>
        </c:scaling>
        <c:axPos val="b"/>
        <c:numFmt formatCode="General" sourceLinked="1"/>
        <c:tickLblPos val="nextTo"/>
        <c:spPr>
          <a:ln w="3127">
            <a:solidFill>
              <a:srgbClr val="000000"/>
            </a:solidFill>
            <a:prstDash val="solid"/>
          </a:ln>
        </c:spPr>
        <c:txPr>
          <a:bodyPr rot="0" vert="horz"/>
          <a:lstStyle/>
          <a:p>
            <a:pPr>
              <a:defRPr sz="790" b="0" i="0" u="none" strike="noStrike" baseline="0">
                <a:solidFill>
                  <a:srgbClr val="000000"/>
                </a:solidFill>
                <a:latin typeface="Arial"/>
                <a:ea typeface="Arial"/>
                <a:cs typeface="Arial"/>
              </a:defRPr>
            </a:pPr>
            <a:endParaRPr lang="ar-SA"/>
          </a:p>
        </c:txPr>
        <c:crossAx val="258950272"/>
        <c:crosses val="autoZero"/>
        <c:auto val="1"/>
        <c:lblAlgn val="ctr"/>
        <c:lblOffset val="100"/>
        <c:tickLblSkip val="1"/>
        <c:tickMarkSkip val="1"/>
      </c:catAx>
      <c:valAx>
        <c:axId val="258950272"/>
        <c:scaling>
          <c:orientation val="minMax"/>
        </c:scaling>
        <c:axPos val="l"/>
        <c:title>
          <c:tx>
            <c:rich>
              <a:bodyPr/>
              <a:lstStyle/>
              <a:p>
                <a:pPr>
                  <a:defRPr sz="785" b="1" i="0" u="none" strike="noStrike" baseline="0">
                    <a:solidFill>
                      <a:srgbClr val="000000"/>
                    </a:solidFill>
                    <a:latin typeface="Arial"/>
                    <a:ea typeface="Arial"/>
                    <a:cs typeface="Arial"/>
                  </a:defRPr>
                </a:pPr>
                <a:r>
                  <a:rPr lang="en-GB"/>
                  <a:t>Number</a:t>
                </a:r>
              </a:p>
            </c:rich>
          </c:tx>
          <c:layout>
            <c:manualLayout>
              <c:xMode val="edge"/>
              <c:yMode val="edge"/>
              <c:x val="2.6379038386627088E-2"/>
              <c:y val="0.25974024214715075"/>
            </c:manualLayout>
          </c:layout>
          <c:spPr>
            <a:noFill/>
            <a:ln w="25045">
              <a:noFill/>
            </a:ln>
          </c:spPr>
        </c:title>
        <c:numFmt formatCode="General" sourceLinked="1"/>
        <c:tickLblPos val="nextTo"/>
        <c:spPr>
          <a:ln w="3127">
            <a:solidFill>
              <a:srgbClr val="000000"/>
            </a:solidFill>
            <a:prstDash val="solid"/>
          </a:ln>
        </c:spPr>
        <c:txPr>
          <a:bodyPr rot="0" vert="horz"/>
          <a:lstStyle/>
          <a:p>
            <a:pPr>
              <a:defRPr sz="790" b="0" i="0" u="none" strike="noStrike" baseline="0">
                <a:solidFill>
                  <a:srgbClr val="000000"/>
                </a:solidFill>
                <a:latin typeface="Arial"/>
                <a:ea typeface="Arial"/>
                <a:cs typeface="Arial"/>
              </a:defRPr>
            </a:pPr>
            <a:endParaRPr lang="ar-SA"/>
          </a:p>
        </c:txPr>
        <c:crossAx val="190446976"/>
        <c:crosses val="autoZero"/>
        <c:crossBetween val="between"/>
      </c:valAx>
      <c:spPr>
        <a:noFill/>
        <a:ln w="25395">
          <a:noFill/>
        </a:ln>
      </c:spPr>
    </c:plotArea>
    <c:legend>
      <c:legendPos val="t"/>
      <c:layout>
        <c:manualLayout>
          <c:xMode val="edge"/>
          <c:yMode val="edge"/>
          <c:x val="0.30012708265483284"/>
          <c:y val="0.10019337905342479"/>
          <c:w val="0.26746566417915785"/>
          <c:h val="0.11336419311222461"/>
        </c:manualLayout>
      </c:layout>
      <c:spPr>
        <a:noFill/>
        <a:ln w="3127">
          <a:solidFill>
            <a:srgbClr val="000000"/>
          </a:solidFill>
          <a:prstDash val="solid"/>
        </a:ln>
      </c:spPr>
      <c:txPr>
        <a:bodyPr/>
        <a:lstStyle/>
        <a:p>
          <a:pPr>
            <a:defRPr sz="726" b="0" i="0" u="none" strike="noStrike" baseline="0">
              <a:solidFill>
                <a:srgbClr val="000000"/>
              </a:solidFill>
              <a:latin typeface="Arial"/>
              <a:ea typeface="Arial"/>
              <a:cs typeface="Arial"/>
            </a:defRPr>
          </a:pPr>
          <a:endParaRPr lang="ar-SA"/>
        </a:p>
      </c:txPr>
    </c:legend>
    <c:plotVisOnly val="1"/>
    <c:dispBlanksAs val="gap"/>
  </c:chart>
  <c:spPr>
    <a:noFill/>
    <a:ln>
      <a:noFill/>
    </a:ln>
  </c:spPr>
  <c:txPr>
    <a:bodyPr/>
    <a:lstStyle/>
    <a:p>
      <a:pPr>
        <a:defRPr sz="790" b="0" i="0" u="none" strike="noStrike" baseline="0">
          <a:solidFill>
            <a:srgbClr val="000000"/>
          </a:solidFill>
          <a:latin typeface="Arial"/>
          <a:ea typeface="Arial"/>
          <a:cs typeface="Arial"/>
        </a:defRPr>
      </a:pPr>
      <a:endParaRPr lang="ar-SA"/>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CA1010-7CEB-47AF-A445-7CFD8D3A4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20</Pages>
  <Words>5176</Words>
  <Characters>27026</Characters>
  <Application>Microsoft Office Word</Application>
  <DocSecurity>0</DocSecurity>
  <Lines>225</Lines>
  <Paragraphs>64</Paragraphs>
  <ScaleCrop>false</ScaleCrop>
  <HeadingPairs>
    <vt:vector size="2" baseType="variant">
      <vt:variant>
        <vt:lpstr>Title</vt:lpstr>
      </vt:variant>
      <vt:variant>
        <vt:i4>1</vt:i4>
      </vt:variant>
    </vt:vector>
  </HeadingPairs>
  <TitlesOfParts>
    <vt:vector size="1" baseType="lpstr">
      <vt:lpstr>Land Use</vt:lpstr>
    </vt:vector>
  </TitlesOfParts>
  <Company>PCBS</Company>
  <LinksUpToDate>false</LinksUpToDate>
  <CharactersWithSpaces>32138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Land Use</dc:title>
  <dc:creator>YOUSEF</dc:creator>
  <cp:lastModifiedBy>maen</cp:lastModifiedBy>
  <cp:revision>116</cp:revision>
  <cp:lastPrinted>2018-12-18T10:01:00Z</cp:lastPrinted>
  <dcterms:created xsi:type="dcterms:W3CDTF">2018-11-29T08:40:00Z</dcterms:created>
  <dcterms:modified xsi:type="dcterms:W3CDTF">2018-12-18T10:06:00Z</dcterms:modified>
</cp:coreProperties>
</file>